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C3" w:rsidRPr="00B608C3" w:rsidRDefault="00B608C3" w:rsidP="00B608C3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МИНИСТЕРСТВО СВЯЗИ И МАССОВЫХ КОММУНИКАЦИЙ РОССИЙСКОЙ ФЕДЕРАЦИИ</w:t>
      </w:r>
    </w:p>
    <w:p w:rsidR="00B608C3" w:rsidRPr="00B608C3" w:rsidRDefault="00B608C3" w:rsidP="00B608C3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bookmarkStart w:id="0" w:name="_GoBack"/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ПРИКАЗ</w:t>
      </w:r>
    </w:p>
    <w:p w:rsidR="00B608C3" w:rsidRPr="00B608C3" w:rsidRDefault="00B608C3" w:rsidP="00B608C3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  13.10.2011                                                                                                   №257</w:t>
      </w:r>
    </w:p>
    <w:bookmarkEnd w:id="0"/>
    <w:p w:rsidR="00B608C3" w:rsidRPr="00B608C3" w:rsidRDefault="00B608C3" w:rsidP="00B608C3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Об утверждении Правил применения абонентских терминалов систем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В соответствии со статьей 41 Федерального закона от 7 июля 2003 г. № 126-ФЗ «О связи» (Собрание законодательства Российской Федерации, 2003, № 28, ст. 2895; № 52, ст. 5038; 2004, № 35, ст. 3607; № 45, ст. 4377; 2005, № 19, ст. 1752; 2006, № 6, ст. 636; № 10, ст. 1069; № 31, ст. 3431, ст. 3452; 2007, № 1, ст. 8; № 7, ст. 835; 2008, № 18, ст. 1941; 2009, № 29, ст. 3625; 2010, № 7, ст. 705; № 15, ст. 1737; № 27, ст. 3408; № 31, ст. 4190; 2011, № 7, ст. 901; № 9, ст. 1205; № 25, ст. 3535; № 27, ст. 3873, ст. 3880; № 29, ст. 4284, ст. 4291; № 30, ст. 4590), пунктом 4 Правил организации и проведения работ по обязательному подтверждению соответствия средств связи, утвержденных постановлением Правительства Российской Федерации от 13 апреля 2005 г. № 214 (Собрание законодательства Российской Федерации, 2005, № 16, ст. 1463; 2008, № 42, ст. 4832), и пунктом 5.2.2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 г. № 418 (Собрание законодательства Российской Федерации, 2008, № 23, ст. 2708; № 42, ст. 4825; № 46, ст. 5337; 2009, № 3, ст. 378; № 6, ст. 738; № 33, ст. 4088; 2010, № 13, ст. 1502; № 26, ст. 3350; № 30, ст. 4099; № 31, ст. 4251; 2011, № 2, ст. 338; № 3, ст. 542; № 6, ст. 888; № 14, ст. 1935; № 21, ст. 2965),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ПРИКАЗЫВАЮ: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 Утвердить прилагаемые Правила применения абонентских терминалов систем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        Направить настоящий приказ на государственную регистрацию в Министерство юстиции Российской Федерации.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Министр                             И.О. Щёголев</w:t>
      </w:r>
    </w:p>
    <w:p w:rsidR="00B608C3" w:rsidRPr="00B608C3" w:rsidRDefault="00B608C3" w:rsidP="00B608C3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УТВЕРЖДЕНЫ</w:t>
      </w:r>
    </w:p>
    <w:p w:rsidR="00B608C3" w:rsidRPr="00B608C3" w:rsidRDefault="00B608C3" w:rsidP="00B608C3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приказом Министерства связи и массовых</w:t>
      </w:r>
    </w:p>
    <w:p w:rsidR="00B608C3" w:rsidRPr="00B608C3" w:rsidRDefault="00B608C3" w:rsidP="00B608C3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коммуникаций Российской Федерации</w:t>
      </w:r>
    </w:p>
    <w:p w:rsidR="00B608C3" w:rsidRPr="00B608C3" w:rsidRDefault="00B608C3" w:rsidP="00B608C3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от _13.10.2011_ №_257_</w:t>
      </w:r>
    </w:p>
    <w:p w:rsidR="00B608C3" w:rsidRPr="00B608C3" w:rsidRDefault="00B608C3" w:rsidP="00B608C3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ПРАВИЛА</w:t>
      </w:r>
    </w:p>
    <w:p w:rsidR="00B608C3" w:rsidRPr="00B608C3" w:rsidRDefault="00B608C3" w:rsidP="00B608C3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Правила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I.         Общие положения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     Правила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 (далее – Правила), разработаны в соответствии со статьей 41 Федерального закона от 07 июля 2003 г. № 126-Ф3 «О связи» (Собрание законодательства Российской Федерации, 2003, № 28, ст. 2895; № 52, ст. 5038; 2004, № 35, ст. 3607; № 45, ст. 4377; 2005, № 19, ст. 1752; 2006, № 6, ст. 636; № 10, ст. 1069; № 31, ст. 3431, ст. 3452; 2007, № 1, ст. 8; № 7, ст. 835; 2008, № 18, ст. 1941; 2009, № 29, ст. 3625; 2010, № 7, ст. 705; № 15, ст. 1737; № 27, ст. 3408; № 31, ст. 4190; 2011, № 7, ст. 901; № 9, ст. 1205; № 25, ст. 3535; № 27, ст. 3873, ст. 3880; № 29, ст. 4284, ст. 4291; № 30, ст. 4590) в целях обеспечения целостности, устойчивости функционирования и безопасности единой сети электросвязи Российской Федерации.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            Правила устанавливают обязательные требования к параметрам абонентских терминалов сетей подвижной радиотелефонной связи стандарта UMTS, работающих в диапазоне 900 МГц (далее – UMTS900), используемых в сети связи общего пользования и технологических сетях связи в случае их присоединения к сети связи общего пользования.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3.             Правила распространяются на абонентские терминалы сетей подвижной радиотелефонной связи стандарта UMTS900.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4.            Абонентские терминалы подлежат декларированию соответствия.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5.            Абонентские терминалы применяются в полосах радиочастот, разрешенных для использования Государственной комиссией по радиочастотам.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II.       Требования к абонентским терминалам сетей подвижной радиотелефонной связи стандарта UMTS900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6.            Типы оборудования, относящегося к абонентским терминалам стандартаUMTS900, приведены в приложении № 1 к Правилам.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7.            В пределах возможностей абонентского терминала и соединенного с ним оборудования абонентский терминал обеспечивает доступ к одной или одновременно к нескольким услугам связи.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8.            По способу доступа к услугам сетей подвижной радиотелефонной связи абонентские терминалы стандартаUMTS900 делятся на: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1)           абонентские терминалы, работающие только в сетях подвижной радиотелефонной связи стандартаUMTS900;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2)           двухрежимные абонентские терминалы, работающие в сетях подвижной радиотелефонной связи стандартаUMTS900 и UMTS2000.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Для двухрежимных абонентских терминалов при работе в режиме UMTS2000 обязательные требования к параметрам абонентского терминала приведены в Правилах применения абонентских терминалов систем подвижной радиотелефонной связи стандарта UMTS с частотным дуплексным разносом и частотно-кодовым разделением радиоканалов, работающих в диапазоне 2000 МГц, утвержденных приказом Министерства информационных технологий и связи Российской Федерации от 27.08.2007 № 100 (зарегистрирован в Министерстве юстиции Российской Федерации 29 августа 2007 г., регистрационный № 10065) (далее – Правила № 100-07);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3)           трехрежимные абонентские терминалы, работающие в сетях подвижной радиотелефонной связи стандарта UMTS900/2000 и в сетях подвижной радиотелефонной связи стандарта GSM900/1800.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Для трехрежимных абонентских терминалов (абонентской радиостанции) при работе в режиме: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а) UMTS2000 обязательные требования к параметрам абонентских терминалов приведены в Правилах № 100-07;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б) GSM900/1800 обязательные требования к параметрам абонентских терминалов приведены в Правилах применения абонентских станций (абонентских радиостанций) сетей подвижной радиотелефонной связи стандарта GSM-900/1800, утвержденных приказом Министерства информационных технологий и связи Российской Федерации от 19.02.2008 № 21 (зарегистрирован в Министерстве юстиции Российской Федерации 05 марта 2008 г., регистрационный № 11279);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4)           многорежимные абонентские терминалы, работающие кроме сетей подвижной радиотелефонной связи стандартов UMTS900/2000 и GSM900/1800 в сетях подвижной радиотелефонной связи других стандартов и (или) в сетях беспроводной передачи данных.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9.            Требования к характеристикам радиоинтерфейса </w:t>
      </w: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сетей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 подвижной радиотелефонной связи стандарта UMTS900 приведены в приложении № 2 к Правилам.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10.       Абонентские терминалы имеют в своем составе вспомогательные приемопередающие устройства малого радиуса действия, работающие в диапазоне 2,4 ГГц и предназначенные для беспроводного соединения абонентского терминала с различным терминальным оборудованием (микротелефонная гарнитура, компьютер или факс).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III.      Требования к параметрам абонентских терминалов стандарта UMTS900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11.       Каждый абонентский терминал стандарта UMTS900 имеет 15-значный идентификационный номер (IMEI), из которого первые 8 цифр – код, определяющий тип данного терминала, последующие 6 цифр – серийный номер терминала, и последняя цифра – проверочная. Вместо IMEI может применяться 16-значный номер IMEISV, в котором вместо проверочной цифры добавлены две цифры, дополнительно обозначающие версию программного обеспечения терминала.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12.       Абонентский терминал сетей подвижной радиотелефонной связи стандарта UMTS900 обеспечивает доступ пользователей к услугам подвижной радиотелефонной связи, основанным как на канальной (например, услуги телефонной сети общего пользования и телефонной сети с интеграцией услуг), так и на пакетной (основанной на протоколах Интернета) передаче.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13.       Абонентский терминал сетей подвижной радиотелефонной связи стандарта UMTS900 обеспечивает в пределах возможности данной сети устойчивость проводимого сеанса пользования услугами связи при перемещениях абонентского терминала в пределах зоны обслуживания сети подвижной радиотелефонной связи стандарта UMTS900.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14.       Абонентский терминал стандарта UMTS900, предназначенный для работы в сетях подвижной радиотелефонной связи UMTS2000 и GSM900/1800, обеспечивает возможность непрерывного пользования услугами подвижной связи при перемещениях абонентского 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терминала во всех направлениях между зонами действия сетей UMTS900, UMTS2000 и GSM900/1800 (при условии, что эти сети и их наборы услуг поддерживают такое перемещение).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15.       Многорежимные абонентские терминалы стандарта UMTS обеспечивают возможность выбора вручную или автоматически реализованных в терминале режимов работы в сетях подвижной радиотелефонной связи разных стандартов.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16.       Для передатчиков устанавливаются обязательные требования: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1)                значения предельно допустимой максимальной мощности для разных классов абонентских терминалов по мощности приведены в приложении № 3 к Правилам;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2)                предельно допустимое отклонение частоты несущей передатчика абонентского терминала от значения, заданного базовой станцией, или от номинального значения несущей частотного канала составляет ±0,1×10</w:t>
      </w:r>
      <w:r w:rsidRPr="00B608C3">
        <w:rPr>
          <w:rFonts w:ascii="Open Sans" w:eastAsia="Times New Roman" w:hAnsi="Open Sans" w:cs="Times New Roman"/>
          <w:color w:val="383838"/>
          <w:sz w:val="16"/>
          <w:szCs w:val="16"/>
          <w:vertAlign w:val="superscript"/>
        </w:rPr>
        <w:t>-6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 при нормальных и предельных значениях рабочей температуры окружающей среды и напряжений питания и при механическом воздействии (синусоидальной вибрации и воздействий в виде ударов);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3)                предельно допустимое отклонение фактической мощности передатчика абонентского терминала от значений, определенных уровнем принимаемого от базовой станции пилот-сигнала и поступающей от нее информацией, составляет ±9 дБ при нормальных условиях и ±12 дБ при предельных значениях рабочей температуры окружающей среды и напряжений питания;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4)                допустимые значения параметров регулировки мощности при управлении мощностью по внутренней петле приведены в приложении № 4 к Правилам;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5)                предельно допустимое значение минимальной выходной мощности, устанавливаемой в абонентском терминале по внешней и внутренней петлям регулировки, составляет менее –50 дБм при нормальных и предельных значениях рабочей температуры окружающей среды и напряжений питания;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6)                предельное максимально допустимое время задержки выключения передатчика абонентского терминала после того, как на интервале времени 160 мс сигналы команд управления мощностью принимались с качеством ниже установленного порога, равно 40 мс.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Предельное максимально допустимое время задержки обратного включения передатчика после того, как абонентский терминал в течение 160 мс возобновил прием сигналов команд управления мощностью с качеством выше установленного порога, равно 40 мс;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7)                максимальная допустимая мощность излучения абонентского терминала при выключенном передатчике равна –56 дБм при нормальных и предельных значениях рабочей температуры окружающей среды и напряжений питания.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этому случаю не относятся перерывы в работе передатчика в режиме компрессии;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8)                допустимые области изменения излучаемой мощности во времени при включении и выключении передатчика абонентского терминала (кроме режима компрессии) при нормальных и предельных значениях рабочей температуры окружающей среды приведены в приложении № 5 к Правилам;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9)                предельно допустимые значения ослабления мощности, излучаемой в соседних частотных каналах, приведены в приложении № 6 к Правилам;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10)            предельно допустимые уровни побочных излучений абонентского терминала на частотах, отстоящих от несущей частоты более, чем на 12,5 МГц, приведены в приложении № 7 к Правилам;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11)            предельно допустимое максимальное значение вектора ошибки передаваемого абонентским терминалом модулированного сигнала на интервале одного временного окна (слота) равно 17,5% при нормальных условиях, при предельных значениях рабочей температуры окружающего воздуха и напряжения питания, и при механических воздействиях (синусоидальной вибрации и воздействий в виде ударов);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12)            предельно допустимое максимальное значение пиковой ошибки в кодовой области передаваемого абонентским терминалом модулированного сигнала на интервале одного временного окна (слота) равно –15 дБ при нормальных условиях и при предельных значениях рабочей температуры окружающего воздуха и напряжения питания.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17.       Предельно допустимый коэффициент ошибок бит (BER) при уровне сигнала на антенном входе приемника, равном –117 дБм (уровень эталонной чувствительности приемника), равен 0,001 при нормальных условиях и при предельных значениях температуры окружающего воздуха и напряжения питания.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18.       Требования к параметрам встроенных в абонентские терминалы вспомогательных приемопередающих устройств малого радиуса действия, работающих в диапазоне 2,4 ГГц, приведены в приложении № 8 к Правилам.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19.       Доступ абонентского терминала к услугам сетей подвижной радиотелефонной связи стандарта UMTS, двухрежимных абонентских терминалов к услугам сетей подвижной радиотелефонной связи стандартов UMTS и GSM производится только при наличии в абонентском терминале персональной идентификационной карты абонента (UICC), где записаны персональные данные абонента (модуль USIM). При отсутствии карты UICC абонентский терминал позволяет производить вызов только экстренных оперативных служб.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20.       Требования к устойчивости абонентских терминалов к воздействию климатических и механических факторов внешней среды приведены в приложении № 9 к Правилам.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Параметры климатических воздействий устанавливаются и декларируются изготовителем абонентского терминала. При этом значение повышенной температуры – не ниже, а пониженной температуры – не выше указанных в приложении № 9 к Правилам.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 воздействии на абонентский терминал с включенным питанием внешней среды с температурой воздуха, значения которой выходят за декларированные его изготовителем пределы, излучаемая им мощность не превышает значений, указанных в приложении № 3 к Правилам для предельно допустимых температур.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21.       Список используемых сокращений приведен в приложении № 10 к Правилам (справочно).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_____________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1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Типы оборудования, относящегося к абонентским терминалам сетей подвижной радиотелефонной связи стандарта UMTS900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          К абонентским терминалам сетей подвижной радиотелефонной связи стандарта UMTS900 относятся: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1)                абонентские терминалы стандарта UMTS900 общего назначения – конструктивно и функционально законченные устройства, имеющие органы управления и дисплей и обеспечивающие пользователей услугами телефонии, мультимедиа и передачи данных;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2)                специализированные абонентские терминалы стандарта UMTS900, к которым относятся: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          а) приемопередатчики системы подвижной радиотелефонной связи стандарта UMTS900, не имеющие органов управления и управляемые от подключенного компьютера или специализированного контроллера, предназначенные для работы в устройствах, использующих сети подвижной радиотелефонной связи стандарта UMTS900 для передачи сигналов управления и контроля («модемы» или  «модули» стандарта UMTS900);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          б) устройства, предназначенные для подключения к компьютерам для передачи данных между компьютерами и между компьютерами и сетью Интернет по сети </w:t>
      </w:r>
      <w:proofErr w:type="gramStart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подвижной  радиотелефонной</w:t>
      </w:r>
      <w:proofErr w:type="gramEnd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связи стандарта UMTS900;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          в) устройства дистанционного управления и контроля, в составе которых имеются специализированные абонентские терминалы стандарта UMTS900 – приемопередающие устройства сетей подвижной радиотелефонной связи стандарта UMTS900 с ограниченной функциональностью, обеспечивающие передачу через сеть подвижной радиотелефонной связи стандарта UMTS900 сигналов телеметрии, контроля и управления, а также служебной телефонии.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2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Требования к характеристикам радиоинтерфейса системы подвижной радиотелефонной связи стандарта UMTS900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     Диапазоны рабочих частот: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880 – 915 МГц (абонентский терминал передает, базовая станция принимает);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925 – 960 МГц (абонентский терминал принимает, базовая станция передает).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            Разнос несущих приема и передачи (дуплексный разнос) – 45 МГц.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3.            Разнос несущих соседних частотных каналов – 5 МГц, но в конкретной сети допускаются отклонения от этой величины с шагом 200 кГц.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4.            Шаг возможных значений несущих – 200 кГц.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5.            Номер частотного радиоканала URAFCN вычисляется по формуле: 5 * (F</w:t>
      </w:r>
      <w:r w:rsidRPr="00B608C3">
        <w:rPr>
          <w:rFonts w:ascii="Open Sans" w:eastAsia="Times New Roman" w:hAnsi="Open Sans" w:cs="Times New Roman"/>
          <w:color w:val="383838"/>
          <w:sz w:val="16"/>
          <w:szCs w:val="16"/>
          <w:vertAlign w:val="subscript"/>
        </w:rPr>
        <w:t>нес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 – 340 МГц), где F</w:t>
      </w:r>
      <w:r w:rsidRPr="00B608C3">
        <w:rPr>
          <w:rFonts w:ascii="Open Sans" w:eastAsia="Times New Roman" w:hAnsi="Open Sans" w:cs="Times New Roman"/>
          <w:color w:val="383838"/>
          <w:sz w:val="16"/>
          <w:szCs w:val="16"/>
          <w:vertAlign w:val="subscript"/>
        </w:rPr>
        <w:t>нес 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– это несущая частота радиоканала в МГц.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6.            Возможные значения номеров частотных каналов: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1)           на линии вверх – от 2712 до 2863;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2)           на линии вниз – от 2937 до 3088.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7.            Полоса частот, занимаемая одним частотным каналом – 5 МГц.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8.            Вид модуляции: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1)           квадратурная фазовая модуляция;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2)           при работе в режиме HSDPA в зависимости от условий радиоканала – квадратурная фазовая модуляция или квадратурная амплитудная модуляция с числом уровней 16 или 64.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9.            Разделение каналов в одном частотном канале – кодовое.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10.       Чиповая скорость – 3,84 Мчип/с.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11.       На линии вниз (от базовой станции к абонентскому терминалу) при одном соединении передается один кодовый канал управления и от одного до шести кодовых каналов данных.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12.       Коэффициент расширения и скорость передачи: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1)            на линии вверх – от 256 до 4, соответственно максимальная пользовательская скорость передачи – от 15 кбит до 960 кбит/с;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2)            на линии вниз – от 512 до 4, соответственно максимальная пользовательская скорость передачи – от 7,5 кбит/с до 960 кбит/с.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13.       Передаваемый цифровой поток разделяется на кадры длительностью 10 мс, кадр разделяется на 15 временных окон (слотов), которые являются единицами регулировки уровня передаваемой мощности.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14.       Кодирование в радиоканале – сверточное, турбо и без кодирования. При услугах в режиме реального времени используется только помехоустойчивое кодирование, при услугах, не предоставляемых в режиме реального времени – помехоустойчивое кодирование в сочетании с различными видами автозапроса. Способ кодирования и скорость передачи устанавливаются автоматически на каждом кадре передачи в соответствии с помеховой </w:t>
      </w:r>
      <w:proofErr w:type="gramStart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обстановкой  в</w:t>
      </w:r>
      <w:proofErr w:type="gramEnd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радиоканале и характером его многолучевости.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15.       В режиме HSDPA несколько кодовых каналов на линии от базовой станции к абонентскому терминалу объединяются в один составной кодовый транспортный канал CCTrCH (Coded Composite Transport Channel), предоставляемый нескольким пользователям для совместного доступа к услугам.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16.       В режиме HSUPA используется усовершенствованный назначенный канал на линии вверх, в котором применены методы адаптации канала, аналогичные используемым в HSDPA, более короткий интервал времени передачи, позволяющий более быструю адаптацию канала, и гибридный автозапрос, что позволяет увеличить пропускную способность и снизить задержку передачи.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3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Значения предельно допустимой максимальной мощности для разных классов абонентских терминалов по мощности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     Величины максимальной общей мощности передатчика абонентских терминалов любых типов для разных классов мощности приведены в таблице № 1.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 № </w:t>
      </w:r>
      <w:bookmarkStart w:id="1" w:name="т1пр3"/>
      <w:bookmarkEnd w:id="1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 Максимальная общая мощность передатчика абонентских терминалов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2286"/>
        <w:gridCol w:w="2603"/>
      </w:tblGrid>
      <w:tr w:rsidR="00B608C3" w:rsidRPr="00B608C3" w:rsidTr="00B608C3">
        <w:tc>
          <w:tcPr>
            <w:tcW w:w="4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Мощность, дБм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Допуск, дБ</w:t>
            </w:r>
          </w:p>
        </w:tc>
      </w:tr>
      <w:tr w:rsidR="00B608C3" w:rsidRPr="00B608C3" w:rsidTr="00B608C3">
        <w:tc>
          <w:tcPr>
            <w:tcW w:w="4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3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24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+1,7/–3,7</w:t>
            </w:r>
          </w:p>
        </w:tc>
      </w:tr>
      <w:tr w:rsidR="00B608C3" w:rsidRPr="00B608C3" w:rsidTr="00B608C3">
        <w:tc>
          <w:tcPr>
            <w:tcW w:w="4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3bis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23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+2,7/–2,7</w:t>
            </w:r>
          </w:p>
        </w:tc>
      </w:tr>
      <w:tr w:rsidR="00B608C3" w:rsidRPr="00B608C3" w:rsidTr="00B608C3">
        <w:tc>
          <w:tcPr>
            <w:tcW w:w="4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4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21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+2,7/–2,7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            Величины максимальной общей мощности передатчика для разных классов абонентских терминалов, поддерживающих работу с каналом HS-DPCCH, для выпуска 5 стандартов UMTS приведены в таблице № 2.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Таблица № </w:t>
      </w:r>
      <w:bookmarkStart w:id="2" w:name="т2пр3"/>
      <w:bookmarkEnd w:id="2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 Максимальная мощность передатчика при наличии кодового канала HS-DPCCH (только для абонентских терминалов, соответствующих параметрам сети 5-й редакции стандарта UMTS900)</w:t>
      </w:r>
    </w:p>
    <w:tbl>
      <w:tblPr>
        <w:tblW w:w="96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160"/>
        <w:gridCol w:w="1440"/>
        <w:gridCol w:w="1620"/>
        <w:gridCol w:w="1485"/>
      </w:tblGrid>
      <w:tr w:rsidR="00B608C3" w:rsidRPr="00B608C3" w:rsidTr="00B608C3">
        <w:tc>
          <w:tcPr>
            <w:tcW w:w="2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Отношение bc к bd при любых значениях bhs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3</w:t>
            </w:r>
          </w:p>
        </w:tc>
        <w:tc>
          <w:tcPr>
            <w:tcW w:w="31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4</w:t>
            </w:r>
          </w:p>
        </w:tc>
      </w:tr>
      <w:tr w:rsidR="00B608C3" w:rsidRPr="00B608C3" w:rsidTr="00B608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Мощность, дБм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Допуск, дБ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Мощность, дБм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Допуск, дБ</w:t>
            </w:r>
          </w:p>
        </w:tc>
      </w:tr>
      <w:tr w:rsidR="00B608C3" w:rsidRPr="00B608C3" w:rsidTr="00B608C3">
        <w:tc>
          <w:tcPr>
            <w:tcW w:w="2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bc/bd=2/15,12/15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+24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+1,7/–3,7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+21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+2,7/–2,7</w:t>
            </w:r>
          </w:p>
        </w:tc>
      </w:tr>
      <w:tr w:rsidR="00B608C3" w:rsidRPr="00B608C3" w:rsidTr="00B608C3">
        <w:tc>
          <w:tcPr>
            <w:tcW w:w="2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bc/bd=15/8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+23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+2,7/–3,7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+20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+3,7/–2,7</w:t>
            </w:r>
          </w:p>
        </w:tc>
      </w:tr>
      <w:tr w:rsidR="00B608C3" w:rsidRPr="00B608C3" w:rsidTr="00B608C3">
        <w:tc>
          <w:tcPr>
            <w:tcW w:w="2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bc/bd=15/4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+22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+3,7/–3,7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+19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+4,7/–2,7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3.            Величины максимальной общей мощности передатчика для разных классов абонентских терминалов, поддерживающих работу с каналом HS-DPCCH, для сети 6-й и выше редакции стандарта UMTS900 приведены в таблице № 3.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 № </w:t>
      </w:r>
      <w:bookmarkStart w:id="3" w:name="т3пр3"/>
      <w:bookmarkEnd w:id="3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3.  Максимальная мощность передатчика при наличии кодового канала HS-DPCCH (для абонентских терминалов, соответствующих параметрам сети 6-й и выше редакции стандарта UMTS900)</w:t>
      </w:r>
    </w:p>
    <w:tbl>
      <w:tblPr>
        <w:tblW w:w="96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20"/>
        <w:gridCol w:w="1560"/>
        <w:gridCol w:w="1395"/>
        <w:gridCol w:w="1560"/>
        <w:gridCol w:w="1245"/>
      </w:tblGrid>
      <w:tr w:rsidR="00B608C3" w:rsidRPr="00B608C3" w:rsidTr="00B608C3">
        <w:tc>
          <w:tcPr>
            <w:tcW w:w="3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Отношения мощностей каналов HS-DPCH, DPCCH and DPDCH</w:t>
            </w:r>
          </w:p>
        </w:tc>
        <w:tc>
          <w:tcPr>
            <w:tcW w:w="29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3</w:t>
            </w:r>
          </w:p>
        </w:tc>
        <w:tc>
          <w:tcPr>
            <w:tcW w:w="28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4</w:t>
            </w:r>
          </w:p>
        </w:tc>
      </w:tr>
      <w:tr w:rsidR="00B608C3" w:rsidRPr="00B608C3" w:rsidTr="00B608C3"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HS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Мощность, дБм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Допуск, дБ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Мощность, дБм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Допуск, дБ</w:t>
            </w:r>
          </w:p>
        </w:tc>
      </w:tr>
      <w:tr w:rsidR="00B608C3" w:rsidRPr="00B608C3" w:rsidTr="00B608C3"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2/15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4/15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+24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+1,7/–3,7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+21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+2,7/–2,7</w:t>
            </w:r>
          </w:p>
        </w:tc>
      </w:tr>
      <w:tr w:rsidR="00B608C3" w:rsidRPr="00B608C3" w:rsidTr="00B608C3"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12/15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24/15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+24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+1,7/–3,7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+21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+2,7/–2,7</w:t>
            </w:r>
          </w:p>
        </w:tc>
      </w:tr>
      <w:tr w:rsidR="00B608C3" w:rsidRPr="00B608C3" w:rsidTr="00B608C3"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8/15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30/15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+23,5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+2,2/–3,7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+20,5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+3,2/–2,7</w:t>
            </w:r>
          </w:p>
        </w:tc>
      </w:tr>
      <w:tr w:rsidR="00B608C3" w:rsidRPr="00B608C3" w:rsidTr="00B608C3"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30/15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+23,5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+2,2/–3,7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+20,5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+3,2/–2,7</w:t>
            </w:r>
          </w:p>
        </w:tc>
      </w:tr>
      <w:tr w:rsidR="00B608C3" w:rsidRPr="00B608C3" w:rsidTr="00B608C3">
        <w:tc>
          <w:tcPr>
            <w:tcW w:w="969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Примечание: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c  </w:t>
            </w:r>
            <w:r w:rsidRPr="00B608C3">
              <w:rPr>
                <w:rFonts w:ascii="Open Sans" w:eastAsia="Times New Roman" w:hAnsi="Open Sans" w:cs="Times New Roman"/>
              </w:rPr>
              <w:t>–</w:t>
            </w:r>
            <w:proofErr w:type="gramEnd"/>
            <w:r w:rsidRPr="00B608C3">
              <w:rPr>
                <w:rFonts w:ascii="Open Sans" w:eastAsia="Times New Roman" w:hAnsi="Open Sans" w:cs="Times New Roman"/>
              </w:rPr>
              <w:t xml:space="preserve"> коэффициент уровня мощности кодового канала управления (0£b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c</w:t>
            </w:r>
            <w:r w:rsidRPr="00B608C3">
              <w:rPr>
                <w:rFonts w:ascii="Open Sans" w:eastAsia="Times New Roman" w:hAnsi="Open Sans" w:cs="Times New Roman"/>
              </w:rPr>
              <w:t>£15);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   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d </w:t>
            </w:r>
            <w:r w:rsidRPr="00B608C3">
              <w:rPr>
                <w:rFonts w:ascii="Open Sans" w:eastAsia="Times New Roman" w:hAnsi="Open Sans" w:cs="Times New Roman"/>
              </w:rPr>
              <w:t xml:space="preserve">– коэффициент уровня мощности кодового канала пользовательских </w:t>
            </w:r>
            <w:proofErr w:type="gramStart"/>
            <w:r w:rsidRPr="00B608C3">
              <w:rPr>
                <w:rFonts w:ascii="Open Sans" w:eastAsia="Times New Roman" w:hAnsi="Open Sans" w:cs="Times New Roman"/>
              </w:rPr>
              <w:t>данных  (</w:t>
            </w:r>
            <w:proofErr w:type="gramEnd"/>
            <w:r w:rsidRPr="00B608C3">
              <w:rPr>
                <w:rFonts w:ascii="Open Sans" w:eastAsia="Times New Roman" w:hAnsi="Open Sans" w:cs="Times New Roman"/>
              </w:rPr>
              <w:t>0£b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 d</w:t>
            </w:r>
            <w:r w:rsidRPr="00B608C3">
              <w:rPr>
                <w:rFonts w:ascii="Open Sans" w:eastAsia="Times New Roman" w:hAnsi="Open Sans" w:cs="Times New Roman"/>
              </w:rPr>
              <w:t>£15);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   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hs</w:t>
            </w:r>
            <w:r w:rsidRPr="00B608C3">
              <w:rPr>
                <w:rFonts w:ascii="Open Sans" w:eastAsia="Times New Roman" w:hAnsi="Open Sans" w:cs="Times New Roman"/>
              </w:rPr>
              <w:t>–коэффициент уровня мощности канала HSDPA.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4.            Величины максимальной общей мощности передатчика для разных классов абонентских терминалов, поддерживающих работу с каналами HS-DPCCH и E-DCH, приведены в таблице № 4.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 № </w:t>
      </w:r>
      <w:bookmarkStart w:id="4" w:name="т4пр3"/>
      <w:bookmarkEnd w:id="4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4. Максимальная мощность передатчика при наличии кодовых каналов HS-DPCCH и E-DCH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1065"/>
        <w:gridCol w:w="1198"/>
        <w:gridCol w:w="1349"/>
        <w:gridCol w:w="988"/>
        <w:gridCol w:w="1343"/>
        <w:gridCol w:w="990"/>
      </w:tblGrid>
      <w:tr w:rsidR="00B608C3" w:rsidRPr="00B608C3" w:rsidTr="00B608C3">
        <w:tc>
          <w:tcPr>
            <w:tcW w:w="424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Отношения мощностей каналов HS-DPCH, DPCCH, DPDCH, E-DPCCH и E-DPDCH</w:t>
            </w:r>
          </w:p>
        </w:tc>
        <w:tc>
          <w:tcPr>
            <w:tcW w:w="28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3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Класс мощности 4</w:t>
            </w:r>
          </w:p>
        </w:tc>
      </w:tr>
      <w:tr w:rsidR="00B608C3" w:rsidRPr="00B608C3" w:rsidTr="00B608C3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HS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ec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ed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Мощность, дБм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Допуск, дБ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Мощность, дБм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Допуск, дБ</w:t>
            </w:r>
          </w:p>
        </w:tc>
      </w:tr>
      <w:tr w:rsidR="00B608C3" w:rsidRPr="00B608C3" w:rsidTr="00B608C3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11/15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22/15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209/225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1309/225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+24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+1,7/–6,7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+2,7/–5,7</w:t>
            </w:r>
          </w:p>
        </w:tc>
      </w:tr>
      <w:tr w:rsidR="00B608C3" w:rsidRPr="00B608C3" w:rsidTr="00B608C3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6/15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12/15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12/15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94/75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+22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+3,7/–5,2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+19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+4,7/–4,2</w:t>
            </w:r>
          </w:p>
        </w:tc>
      </w:tr>
      <w:tr w:rsidR="00B608C3" w:rsidRPr="00B608C3" w:rsidTr="00B608C3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9/15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30/15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30/15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47/15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+23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+2,7/–5,2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+20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+3,7/–4,2</w:t>
            </w:r>
          </w:p>
        </w:tc>
      </w:tr>
      <w:tr w:rsidR="00B608C3" w:rsidRPr="00B608C3" w:rsidTr="00B608C3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lastRenderedPageBreak/>
              <w:t>2/15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4/15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2/15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56/75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+22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+3,7/–5,2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+19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+4,7/–4,2</w:t>
            </w:r>
          </w:p>
        </w:tc>
      </w:tr>
      <w:tr w:rsidR="00B608C3" w:rsidRPr="00B608C3" w:rsidTr="00B608C3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15/15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24/15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134/15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+24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+1,7/–6,7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+2,7/–5,7</w:t>
            </w:r>
          </w:p>
        </w:tc>
      </w:tr>
      <w:tr w:rsidR="00B608C3" w:rsidRPr="00B608C3" w:rsidTr="00B608C3">
        <w:tc>
          <w:tcPr>
            <w:tcW w:w="982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Примечание: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c  </w:t>
            </w:r>
            <w:r w:rsidRPr="00B608C3">
              <w:rPr>
                <w:rFonts w:ascii="Open Sans" w:eastAsia="Times New Roman" w:hAnsi="Open Sans" w:cs="Times New Roman"/>
              </w:rPr>
              <w:t>–</w:t>
            </w:r>
            <w:proofErr w:type="gramEnd"/>
            <w:r w:rsidRPr="00B608C3">
              <w:rPr>
                <w:rFonts w:ascii="Open Sans" w:eastAsia="Times New Roman" w:hAnsi="Open Sans" w:cs="Times New Roman"/>
              </w:rPr>
              <w:t xml:space="preserve"> коэффициент уровня мощности кодового канала управления;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d </w:t>
            </w:r>
            <w:r w:rsidRPr="00B608C3">
              <w:rPr>
                <w:rFonts w:ascii="Open Sans" w:eastAsia="Times New Roman" w:hAnsi="Open Sans" w:cs="Times New Roman"/>
              </w:rPr>
              <w:t>– коэффициент уровня мощности кодового канала пользовательских данных;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hs</w:t>
            </w:r>
            <w:r w:rsidRPr="00B608C3">
              <w:rPr>
                <w:rFonts w:ascii="Open Sans" w:eastAsia="Times New Roman" w:hAnsi="Open Sans" w:cs="Times New Roman"/>
              </w:rPr>
              <w:t>–коэффициент уровня мощности канала HSDPA;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ec</w:t>
            </w:r>
            <w:r w:rsidRPr="00B608C3">
              <w:rPr>
                <w:rFonts w:ascii="Open Sans" w:eastAsia="Times New Roman" w:hAnsi="Open Sans" w:cs="Times New Roman"/>
              </w:rPr>
              <w:t> — коэффициент уровня мощности канала E-DPCCH;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b</w:t>
            </w:r>
            <w:r w:rsidRPr="00B608C3">
              <w:rPr>
                <w:rFonts w:ascii="Open Sans" w:eastAsia="Times New Roman" w:hAnsi="Open Sans" w:cs="Times New Roman"/>
                <w:sz w:val="16"/>
                <w:szCs w:val="16"/>
                <w:vertAlign w:val="subscript"/>
              </w:rPr>
              <w:t>ed</w:t>
            </w:r>
            <w:r w:rsidRPr="00B608C3">
              <w:rPr>
                <w:rFonts w:ascii="Open Sans" w:eastAsia="Times New Roman" w:hAnsi="Open Sans" w:cs="Times New Roman"/>
              </w:rPr>
              <w:t> — коэффициент уровня мощности канала E-DPDCH.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_____________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4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Допустимые значения параметров регулировки мощности при управлении мощностью по внутренней петле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     Допустимые пределы величины шага изменения мощности при приеме одной команды регулировки мощности по внутренней петле приведены в таблице № 1.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 № </w:t>
      </w:r>
      <w:bookmarkStart w:id="5" w:name="т1пр4"/>
      <w:bookmarkEnd w:id="5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 Допустимые пределы величины шага изменения мощности при приеме одной команды регулировки мощности по внутренней петле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249"/>
        <w:gridCol w:w="1249"/>
        <w:gridCol w:w="1429"/>
        <w:gridCol w:w="1429"/>
        <w:gridCol w:w="1249"/>
        <w:gridCol w:w="1353"/>
      </w:tblGrid>
      <w:tr w:rsidR="00B608C3" w:rsidRPr="00B608C3" w:rsidTr="00B608C3">
        <w:tc>
          <w:tcPr>
            <w:tcW w:w="1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Команда</w:t>
            </w:r>
          </w:p>
        </w:tc>
        <w:tc>
          <w:tcPr>
            <w:tcW w:w="802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Допуск на шаг регулировки мощности по одной команде, дБ</w:t>
            </w:r>
          </w:p>
        </w:tc>
      </w:tr>
      <w:tr w:rsidR="00B608C3" w:rsidRPr="00B608C3" w:rsidTr="00B608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 шаге 1дБ</w:t>
            </w:r>
          </w:p>
        </w:tc>
        <w:tc>
          <w:tcPr>
            <w:tcW w:w="28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 шаге 2дБ</w:t>
            </w:r>
          </w:p>
        </w:tc>
        <w:tc>
          <w:tcPr>
            <w:tcW w:w="26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 шаге 3дБ</w:t>
            </w:r>
          </w:p>
        </w:tc>
      </w:tr>
      <w:tr w:rsidR="00B608C3" w:rsidRPr="00B608C3" w:rsidTr="00B608C3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+0,4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+1,6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+0,85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+3,15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+4,7</w:t>
            </w:r>
          </w:p>
        </w:tc>
      </w:tr>
      <w:tr w:rsidR="00B608C3" w:rsidRPr="00B608C3" w:rsidTr="00B608C3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–0,6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+0,6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–0,6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+0,6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–0,6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+0,6</w:t>
            </w:r>
          </w:p>
        </w:tc>
      </w:tr>
      <w:tr w:rsidR="00B608C3" w:rsidRPr="00B608C3" w:rsidTr="00B608C3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–0,4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–1,6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–0,85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–3,15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–1,3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–4,7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            Допустимые пределы изменения мощности при приеме последовательно 7-ми и 10-ти одинаковых групп команд регулировки мощности по внутренней петле приведены в таблице № 2.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 № 2. Допустимые пределы изменения мощности при приеме последовательно 7-ми и 10-ти одинаковых групп команд регулировки мощности по внутренней петле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260"/>
        <w:gridCol w:w="1260"/>
        <w:gridCol w:w="1260"/>
        <w:gridCol w:w="1260"/>
        <w:gridCol w:w="1455"/>
        <w:gridCol w:w="1455"/>
      </w:tblGrid>
      <w:tr w:rsidR="00B608C3" w:rsidRPr="00B608C3" w:rsidTr="00B608C3"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Группа команд</w:t>
            </w:r>
          </w:p>
        </w:tc>
        <w:tc>
          <w:tcPr>
            <w:tcW w:w="50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Изменение мощности после приема последовательности </w:t>
            </w:r>
            <w:r w:rsidRPr="00B608C3">
              <w:rPr>
                <w:rFonts w:ascii="Times New Roman" w:eastAsia="Times New Roman" w:hAnsi="Times New Roman" w:cs="Times New Roman"/>
              </w:rPr>
              <w:br/>
            </w:r>
            <w:r w:rsidRPr="00B608C3">
              <w:rPr>
                <w:rFonts w:ascii="Open Sans" w:eastAsia="Times New Roman" w:hAnsi="Open Sans" w:cs="Times New Roman"/>
              </w:rPr>
              <w:t>из 10-ти одинаковых групп команд, дБ</w:t>
            </w:r>
          </w:p>
        </w:tc>
        <w:tc>
          <w:tcPr>
            <w:tcW w:w="29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Изменение мощности после приема последовательности </w:t>
            </w:r>
            <w:r w:rsidRPr="00B608C3">
              <w:rPr>
                <w:rFonts w:ascii="Times New Roman" w:eastAsia="Times New Roman" w:hAnsi="Times New Roman" w:cs="Times New Roman"/>
              </w:rPr>
              <w:br/>
            </w:r>
            <w:r w:rsidRPr="00B608C3">
              <w:rPr>
                <w:rFonts w:ascii="Open Sans" w:eastAsia="Times New Roman" w:hAnsi="Open Sans" w:cs="Times New Roman"/>
              </w:rPr>
              <w:t>из 7-ми одинаковых групп команд, дБ</w:t>
            </w:r>
          </w:p>
        </w:tc>
      </w:tr>
      <w:tr w:rsidR="00B608C3" w:rsidRPr="00B608C3" w:rsidTr="00B608C3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 шаге 1 дБ</w:t>
            </w:r>
          </w:p>
        </w:tc>
        <w:tc>
          <w:tcPr>
            <w:tcW w:w="2520" w:type="dxa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 шаге 2 дБ</w:t>
            </w:r>
          </w:p>
        </w:tc>
        <w:tc>
          <w:tcPr>
            <w:tcW w:w="2910" w:type="dxa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 шаге 3 дБ</w:t>
            </w:r>
          </w:p>
        </w:tc>
      </w:tr>
      <w:tr w:rsidR="00B608C3" w:rsidRPr="00B608C3" w:rsidTr="00B608C3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min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max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min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max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min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max</w:t>
            </w:r>
          </w:p>
        </w:tc>
      </w:tr>
      <w:tr w:rsidR="00B608C3" w:rsidRPr="00B608C3" w:rsidTr="00B608C3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5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6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7</w:t>
            </w:r>
          </w:p>
        </w:tc>
      </w:tr>
      <w:tr w:rsidR="00B608C3" w:rsidRPr="00B608C3" w:rsidTr="00B608C3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+7,7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+12,3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+15,7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+24,3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+15,7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+26,3</w:t>
            </w:r>
          </w:p>
        </w:tc>
      </w:tr>
      <w:tr w:rsidR="00B608C3" w:rsidRPr="00B608C3" w:rsidTr="00B608C3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–1,1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–1,1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+1,1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–1,1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+1,1</w:t>
            </w:r>
          </w:p>
        </w:tc>
      </w:tr>
      <w:tr w:rsidR="00B608C3" w:rsidRPr="00B608C3" w:rsidTr="00B608C3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5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6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7</w:t>
            </w:r>
          </w:p>
        </w:tc>
      </w:tr>
      <w:tr w:rsidR="00B608C3" w:rsidRPr="00B608C3" w:rsidTr="00B608C3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–7,7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–12,3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–15,7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–24,3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–15,7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–26,3</w:t>
            </w:r>
          </w:p>
        </w:tc>
      </w:tr>
      <w:tr w:rsidR="00B608C3" w:rsidRPr="00B608C3" w:rsidTr="00B608C3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lastRenderedPageBreak/>
              <w:t>0,0,0,0, +1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+5,7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+14,3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</w:t>
            </w:r>
          </w:p>
        </w:tc>
      </w:tr>
      <w:tr w:rsidR="00B608C3" w:rsidRPr="00B608C3" w:rsidTr="00B608C3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5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6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7</w:t>
            </w:r>
          </w:p>
        </w:tc>
      </w:tr>
      <w:tr w:rsidR="00B608C3" w:rsidRPr="00B608C3" w:rsidTr="00B608C3"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0,0,0,0, –1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–5,7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–14,3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</w:t>
            </w:r>
          </w:p>
        </w:tc>
      </w:tr>
      <w:tr w:rsidR="00B608C3" w:rsidRPr="00B608C3" w:rsidTr="00B608C3">
        <w:tc>
          <w:tcPr>
            <w:tcW w:w="92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Примечание. Шаг регулировки 3 дБ применяется только в режиме компрессии.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_________________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5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Допустимые области изменения излучаемой мощности во времени при включении и выключении передатчика абонентского терминала (кроме режима компрессии) при нормальных и предельных значениях рабочей температуры окружающей среды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Шаблон включения и выключения излучения передатчика во времени для физического канала произвольного доступа приведен на рисунке 1, шаблон включения и выключения излучения передатчика во времени для всех остальных каналов приведен на рисунке 2.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fldChar w:fldCharType="begin"/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instrText xml:space="preserve"> INCLUDEPICTURE "https://digital.gov.ru/uploaded/photos/risunok1.JPG" \* MERGEFORMATINET </w:instrTex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fldChar w:fldCharType="separate"/>
      </w:r>
      <w:r w:rsidRPr="00B608C3">
        <w:rPr>
          <w:rFonts w:ascii="Open Sans" w:eastAsia="Times New Roman" w:hAnsi="Open Sans" w:cs="Times New Roman"/>
          <w:noProof/>
          <w:color w:val="383838"/>
          <w:sz w:val="21"/>
          <w:szCs w:val="21"/>
        </w:rPr>
        <w:drawing>
          <wp:inline distT="0" distB="0" distL="0" distR="0">
            <wp:extent cx="5936615" cy="4600575"/>
            <wp:effectExtent l="0" t="0" r="0" b="0"/>
            <wp:docPr id="2" name="Рисунок 2" descr="https://digital.gov.ru/uploaded/photos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gital.gov.ru/uploaded/photos/risuno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fldChar w:fldCharType="end"/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Рисунок 1. Шаблон включения и выключения излучения передатчика во времени для физического канала произвольного доступа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fldChar w:fldCharType="begin"/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instrText xml:space="preserve"> INCLUDEPICTURE "https://digital.gov.ru/uploaded/photos/risunok2.JPG" \* MERGEFORMATINET </w:instrTex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fldChar w:fldCharType="separate"/>
      </w:r>
      <w:r w:rsidRPr="00B608C3">
        <w:rPr>
          <w:rFonts w:ascii="Open Sans" w:eastAsia="Times New Roman" w:hAnsi="Open Sans" w:cs="Times New Roman"/>
          <w:noProof/>
          <w:color w:val="383838"/>
          <w:sz w:val="21"/>
          <w:szCs w:val="21"/>
        </w:rPr>
        <w:drawing>
          <wp:inline distT="0" distB="0" distL="0" distR="0">
            <wp:extent cx="5936615" cy="4547870"/>
            <wp:effectExtent l="0" t="0" r="0" b="0"/>
            <wp:docPr id="1" name="Рисунок 1" descr="https://digital.gov.ru/uploaded/photos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gital.gov.ru/uploaded/photos/risuno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fldChar w:fldCharType="end"/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Рисунок 2. Шаблон включения и выключения излучения передатчика </w:t>
      </w:r>
      <w:r w:rsidRPr="00B608C3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во времени для всех остальных каналов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_____________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6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Предельно допустимые значения ослабления мощности, излучаемой в соседних частотных каналах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Предельно допустимые значения ослабления мощности, излучаемой </w:t>
      </w:r>
      <w:r w:rsidRPr="00B608C3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в соседних частотных каналах, приведены в таблице.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Таблица. Допустимое ослабление мощности излучения в соседних каналах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10"/>
      </w:tblGrid>
      <w:tr w:rsidR="00B608C3" w:rsidRPr="00B608C3" w:rsidTr="00B608C3"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Соседний канал</w:t>
            </w:r>
          </w:p>
        </w:tc>
        <w:tc>
          <w:tcPr>
            <w:tcW w:w="6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Минимально допустимое ослабление </w:t>
            </w:r>
            <w:r w:rsidRPr="00B608C3">
              <w:rPr>
                <w:rFonts w:ascii="Times New Roman" w:eastAsia="Times New Roman" w:hAnsi="Times New Roman" w:cs="Times New Roman"/>
              </w:rPr>
              <w:br/>
            </w:r>
            <w:r w:rsidRPr="00B608C3">
              <w:rPr>
                <w:rFonts w:ascii="Open Sans" w:eastAsia="Times New Roman" w:hAnsi="Open Sans" w:cs="Times New Roman"/>
              </w:rPr>
              <w:t>излучения в соседних каналах относительно несущей, дБ</w:t>
            </w:r>
          </w:p>
        </w:tc>
      </w:tr>
      <w:tr w:rsidR="00B608C3" w:rsidRPr="00B608C3" w:rsidTr="00B608C3"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+5 МГц или –5 МГц</w:t>
            </w:r>
          </w:p>
        </w:tc>
        <w:tc>
          <w:tcPr>
            <w:tcW w:w="6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32,2</w:t>
            </w:r>
          </w:p>
        </w:tc>
      </w:tr>
      <w:tr w:rsidR="00B608C3" w:rsidRPr="00B608C3" w:rsidTr="00B608C3"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 xml:space="preserve">+10 МГц </w:t>
            </w:r>
            <w:proofErr w:type="gramStart"/>
            <w:r w:rsidRPr="00B608C3">
              <w:rPr>
                <w:rFonts w:ascii="Open Sans" w:eastAsia="Times New Roman" w:hAnsi="Open Sans" w:cs="Times New Roman"/>
              </w:rPr>
              <w:t>или  –</w:t>
            </w:r>
            <w:proofErr w:type="gramEnd"/>
            <w:r w:rsidRPr="00B608C3">
              <w:rPr>
                <w:rFonts w:ascii="Open Sans" w:eastAsia="Times New Roman" w:hAnsi="Open Sans" w:cs="Times New Roman"/>
              </w:rPr>
              <w:t>10 МГц</w:t>
            </w:r>
          </w:p>
        </w:tc>
        <w:tc>
          <w:tcPr>
            <w:tcW w:w="6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42,2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Для абонентского терминала, имеющего в своем составе вспомогательное приемопередающее устройство малого радиуса действия, работающее в диапазоне 2,4 ГГц, указанные требования выполняются при работе этого устройства в режиме передачи потока данных на максимальной мощности передатчика этого устройства.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_____________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7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системподвижной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lastRenderedPageBreak/>
        <w:t>Предельно допустимые уровни побочных излучений абонентского терминала на частотах, отстоящих от несущей частоты более, чем на 12,5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     Общие требования к предельно допустимым значениям уровней побочных излучений приведены в таблице № 1.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 № </w:t>
      </w:r>
      <w:bookmarkStart w:id="6" w:name="т1пр7"/>
      <w:bookmarkEnd w:id="6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 Общие требования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2880"/>
        <w:gridCol w:w="2865"/>
      </w:tblGrid>
      <w:tr w:rsidR="00B608C3" w:rsidRPr="00B608C3" w:rsidTr="00B608C3"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Диапазон частот (кроме частот, определенных в таблице № 2)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Измерительная полоса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Уровень излучений не более, дБм</w:t>
            </w:r>
          </w:p>
        </w:tc>
      </w:tr>
      <w:tr w:rsidR="00B608C3" w:rsidRPr="00B608C3" w:rsidTr="00B608C3"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9 кГц – 150 кГц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 кГц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–36</w:t>
            </w:r>
          </w:p>
        </w:tc>
      </w:tr>
      <w:tr w:rsidR="00B608C3" w:rsidRPr="00B608C3" w:rsidTr="00B608C3"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150 кГц – 30 МГц 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10 кГц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–36</w:t>
            </w:r>
          </w:p>
        </w:tc>
      </w:tr>
      <w:tr w:rsidR="00B608C3" w:rsidRPr="00B608C3" w:rsidTr="00B608C3"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30 МГц – 1000 МГц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100 кГц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–36</w:t>
            </w:r>
          </w:p>
        </w:tc>
      </w:tr>
      <w:tr w:rsidR="00B608C3" w:rsidRPr="00B608C3" w:rsidTr="00B608C3"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1,0 ГГц – 12,75 ГГц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 МГц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–30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            Дополнительные требования к отдельным участкам диапазона частот приведены в таблице № 2.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 № </w:t>
      </w:r>
      <w:bookmarkStart w:id="7" w:name="т2пр7"/>
      <w:bookmarkEnd w:id="7"/>
      <w:proofErr w:type="gramStart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2.Дополнительные</w:t>
      </w:r>
      <w:proofErr w:type="gramEnd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требования к отдельным участкам диапазона частот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141"/>
        <w:gridCol w:w="2052"/>
        <w:gridCol w:w="1376"/>
        <w:gridCol w:w="1558"/>
      </w:tblGrid>
      <w:tr w:rsidR="00B608C3" w:rsidRPr="00B608C3" w:rsidTr="00B608C3">
        <w:trPr>
          <w:gridAfter w:val="2"/>
          <w:wAfter w:w="577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Диапазон частот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Измерительная полоса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Уровень излучений не более, дБм</w:t>
            </w:r>
          </w:p>
        </w:tc>
      </w:tr>
      <w:tr w:rsidR="00B608C3" w:rsidRPr="00B608C3" w:rsidTr="00B608C3">
        <w:trPr>
          <w:gridAfter w:val="2"/>
          <w:wAfter w:w="577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</w:t>
            </w:r>
          </w:p>
        </w:tc>
      </w:tr>
      <w:tr w:rsidR="00B608C3" w:rsidRPr="00B608C3" w:rsidTr="00B608C3">
        <w:trPr>
          <w:gridAfter w:val="2"/>
          <w:wAfter w:w="577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925 МГц – 935 МГц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100 кГц</w:t>
            </w:r>
          </w:p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3,84 МГц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–67*</w:t>
            </w:r>
          </w:p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–60</w:t>
            </w:r>
          </w:p>
        </w:tc>
      </w:tr>
      <w:tr w:rsidR="00B608C3" w:rsidRPr="00B608C3" w:rsidTr="00B608C3">
        <w:trPr>
          <w:gridAfter w:val="2"/>
          <w:wAfter w:w="577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935 МГц – 960 МГц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100 кГц</w:t>
            </w:r>
          </w:p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3,84 МГц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–79*</w:t>
            </w:r>
          </w:p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–60</w:t>
            </w:r>
          </w:p>
        </w:tc>
      </w:tr>
      <w:tr w:rsidR="00B608C3" w:rsidRPr="00B608C3" w:rsidTr="00B608C3">
        <w:trPr>
          <w:gridAfter w:val="2"/>
          <w:wAfter w:w="577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1805 – 1830 МГц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100 кГц</w:t>
            </w:r>
          </w:p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3,84 МГц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–71*</w:t>
            </w:r>
          </w:p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–60*</w:t>
            </w:r>
          </w:p>
        </w:tc>
      </w:tr>
      <w:tr w:rsidR="00B608C3" w:rsidRPr="00B608C3" w:rsidTr="00B608C3">
        <w:trPr>
          <w:gridAfter w:val="2"/>
          <w:wAfter w:w="5775" w:type="dxa"/>
        </w:trPr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1830 – 1880 МГц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100 кГц</w:t>
            </w:r>
          </w:p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3,84 МГц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–71*</w:t>
            </w:r>
          </w:p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–60</w:t>
            </w:r>
          </w:p>
        </w:tc>
      </w:tr>
      <w:tr w:rsidR="00B608C3" w:rsidRPr="00B608C3" w:rsidTr="00B608C3"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</w:t>
            </w:r>
          </w:p>
        </w:tc>
      </w:tr>
      <w:tr w:rsidR="00B608C3" w:rsidRPr="00B608C3" w:rsidTr="00B608C3"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2110 – 2170 МГц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3,84 МГц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–60</w:t>
            </w:r>
          </w:p>
        </w:tc>
      </w:tr>
      <w:tr w:rsidR="00B608C3" w:rsidRPr="00B608C3" w:rsidTr="00B608C3"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2620 – 2640 МГц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3,84 МГц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–60</w:t>
            </w:r>
          </w:p>
        </w:tc>
      </w:tr>
      <w:tr w:rsidR="00B608C3" w:rsidRPr="00B608C3" w:rsidTr="00B608C3">
        <w:tc>
          <w:tcPr>
            <w:tcW w:w="37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2640 – 2690 МГц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3,84 МГц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–60*</w:t>
            </w:r>
          </w:p>
        </w:tc>
      </w:tr>
      <w:tr w:rsidR="00B608C3" w:rsidRPr="00B608C3" w:rsidTr="00B608C3">
        <w:tc>
          <w:tcPr>
            <w:tcW w:w="957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Примечание: *Измерения производятся на частотах, кратных частоте 200 кГц.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Для абонентского терминала, имеющего в своем составе вспомогательное приемопередающее устройство малого радиуса действия, работающее в диапазоне 2,4 ГГц, </w:t>
      </w:r>
      <w:proofErr w:type="gramStart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выше приведенные</w:t>
      </w:r>
      <w:proofErr w:type="gramEnd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требования выполняются при работе этого устройства в режиме передачи потока данных на максимальной мощности передатчика этого устройства.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_____________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8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Требования к параметрам встроенных в абонентские терминалы вспомогательных приемопередающих устройств малого радиуса действия, работающих в диапазоне 2,4 ГГц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     Мощность передатчика устройства – не более 2,5 мВт.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2.            Общий рабочий диапазон частот передачи и приема вспомогательного устройства – 2,4 – 2,4835 ГГц. Рабочие частоты устройства в конкретном абонентском терминале определяются и декларируются производителем в пределах общего диапазона.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3.            Предельно допустимые максимальные значения побочных излучений встроенного в абонентский терминал вспомогательного устройства малого радиуса действия (без побочных излучений приемопередатчика UMTS) приведены в таблицах №№ 1, 2.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Таблица № </w:t>
      </w:r>
      <w:proofErr w:type="gramStart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1.Предельно</w:t>
      </w:r>
      <w:proofErr w:type="gramEnd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допустимые значения узкополосных побочных излучений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359"/>
        <w:gridCol w:w="2934"/>
      </w:tblGrid>
      <w:tr w:rsidR="00B608C3" w:rsidRPr="00B608C3" w:rsidTr="00B608C3">
        <w:tc>
          <w:tcPr>
            <w:tcW w:w="30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Диапазоны частот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Предельно допустимые уровни узкополосных побочных излучений</w:t>
            </w:r>
          </w:p>
        </w:tc>
      </w:tr>
      <w:tr w:rsidR="00B608C3" w:rsidRPr="00B608C3" w:rsidTr="00B608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в режиме передачи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в дежурном режиме</w:t>
            </w:r>
          </w:p>
        </w:tc>
      </w:tr>
      <w:tr w:rsidR="00B608C3" w:rsidRPr="00B608C3" w:rsidTr="00B608C3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 30 МГц до 1 ГГц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–36 дБм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–57 дБм</w:t>
            </w:r>
          </w:p>
        </w:tc>
      </w:tr>
      <w:tr w:rsidR="00B608C3" w:rsidRPr="00B608C3" w:rsidTr="00B608C3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выше 1 ГГц и </w:t>
            </w:r>
            <w:r w:rsidRPr="00B608C3">
              <w:rPr>
                <w:rFonts w:ascii="Times New Roman" w:eastAsia="Times New Roman" w:hAnsi="Times New Roman" w:cs="Times New Roman"/>
              </w:rPr>
              <w:br w:type="textWrapping" w:clear="all"/>
            </w:r>
            <w:r w:rsidRPr="00B608C3">
              <w:rPr>
                <w:rFonts w:ascii="Open Sans" w:eastAsia="Times New Roman" w:hAnsi="Open Sans" w:cs="Times New Roman"/>
              </w:rPr>
              <w:t>до 12,75 ГГц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–30 дБм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–47 дБм</w:t>
            </w:r>
          </w:p>
        </w:tc>
      </w:tr>
      <w:tr w:rsidR="00B608C3" w:rsidRPr="00B608C3" w:rsidTr="00B608C3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 1,8 до 1,9 ГГц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 5,15 до 5,3 ГГц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–47 дБм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–47 дБм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Таблица № 2. Предельно допустимые значения широкополосных побочных излучений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405"/>
        <w:gridCol w:w="2970"/>
      </w:tblGrid>
      <w:tr w:rsidR="00B608C3" w:rsidRPr="00B608C3" w:rsidTr="00B608C3">
        <w:tc>
          <w:tcPr>
            <w:tcW w:w="29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Диапазоны частот</w:t>
            </w:r>
          </w:p>
        </w:tc>
        <w:tc>
          <w:tcPr>
            <w:tcW w:w="63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Предельно допустимые уровни широкополосных побочных излучений</w:t>
            </w:r>
          </w:p>
        </w:tc>
      </w:tr>
      <w:tr w:rsidR="00B608C3" w:rsidRPr="00B608C3" w:rsidTr="00B608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в режиме передачи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в дежурном режиме</w:t>
            </w:r>
          </w:p>
        </w:tc>
      </w:tr>
      <w:tr w:rsidR="00B608C3" w:rsidRPr="00B608C3" w:rsidTr="00B608C3"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 30 МГц до 1 ГГц 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–86 дБм/Гц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–107 дБм/Гц</w:t>
            </w:r>
          </w:p>
        </w:tc>
      </w:tr>
      <w:tr w:rsidR="00B608C3" w:rsidRPr="00B608C3" w:rsidTr="00B608C3"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выше 1 ГГц и </w:t>
            </w:r>
            <w:r w:rsidRPr="00B608C3">
              <w:rPr>
                <w:rFonts w:ascii="Times New Roman" w:eastAsia="Times New Roman" w:hAnsi="Times New Roman" w:cs="Times New Roman"/>
              </w:rPr>
              <w:br w:type="textWrapping" w:clear="all"/>
            </w:r>
            <w:r w:rsidRPr="00B608C3">
              <w:rPr>
                <w:rFonts w:ascii="Open Sans" w:eastAsia="Times New Roman" w:hAnsi="Open Sans" w:cs="Times New Roman"/>
              </w:rPr>
              <w:t>до 12,75 ГГц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–80 дБм/Гц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–97 дБм/Гц</w:t>
            </w:r>
          </w:p>
        </w:tc>
      </w:tr>
      <w:tr w:rsidR="00B608C3" w:rsidRPr="00B608C3" w:rsidTr="00B608C3">
        <w:tc>
          <w:tcPr>
            <w:tcW w:w="2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 1,8 до 1,9 ГГц</w:t>
            </w:r>
          </w:p>
          <w:p w:rsidR="00B608C3" w:rsidRPr="00B608C3" w:rsidRDefault="00B608C3" w:rsidP="00B608C3">
            <w:pPr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от 5,15 до 5,3 ГГц</w:t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–97 дБм/Гц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8C3" w:rsidRPr="00B608C3" w:rsidRDefault="00B608C3" w:rsidP="00B60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8C3">
              <w:rPr>
                <w:rFonts w:ascii="Open Sans" w:eastAsia="Times New Roman" w:hAnsi="Open Sans" w:cs="Times New Roman"/>
              </w:rPr>
              <w:t>–97 дБм/Гц</w:t>
            </w:r>
          </w:p>
        </w:tc>
      </w:tr>
    </w:tbl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_____________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9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Требования к устойчивости абонентских терминалов к воздействию климатических и механических факторов внешней среды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 Абонентские терминалы устойчивы к воздействию следующих климатических факторов внешней среды.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Нормальные условия окружающей среды: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температура внешней среды от +15 до +35ºС – нормальные значения рабочей температуры;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относительная влажность от 45 до 75 %;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атмосферное давление от 650 до 800 мм рт. ст.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Предельные условия окружающей среды: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— при эксплуатации: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температура окружающего среды: от –10˚С (пониженная температура) до +55˚С (повышенная температура) – предельные значения рабочей температуры;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относительная влажность: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65% при +20˚С – среднемесячное значение в наиболее теплый и влажный период при продолжительности воздействия 12 месяцев;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80% при +25˚С – верхнее значение.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— при хранении: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температура окружающего среды: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от +5˚С (пониженная температура) до +40˚С (повышенная температура);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относительная влажность: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65% при +20˚С – среднемесячное значение в наиболее теплый и влажный период при продолжительности воздействия 12 месяцев.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 транспортировании: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температура окружающего воздуха: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от +5˚С до +40˚С;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относительная влажность: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100% при +25˚С – верхнее значение.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2.      Абонентские терминалы работоспособны и сохраняют рабочие параметры при воздействии синусоидальной вибрации в полосе 5 – 20 Гц со спектральной плотностью виброускорения 0,96 м</w:t>
      </w:r>
      <w:r w:rsidRPr="00B608C3">
        <w:rPr>
          <w:rFonts w:ascii="Open Sans" w:eastAsia="Times New Roman" w:hAnsi="Open Sans" w:cs="Times New Roman"/>
          <w:color w:val="383838"/>
          <w:sz w:val="16"/>
          <w:szCs w:val="16"/>
          <w:vertAlign w:val="superscript"/>
        </w:rPr>
        <w:t>2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/с</w:t>
      </w:r>
      <w:r w:rsidRPr="00B608C3">
        <w:rPr>
          <w:rFonts w:ascii="Open Sans" w:eastAsia="Times New Roman" w:hAnsi="Open Sans" w:cs="Times New Roman"/>
          <w:color w:val="383838"/>
          <w:sz w:val="16"/>
          <w:szCs w:val="16"/>
          <w:vertAlign w:val="superscript"/>
        </w:rPr>
        <w:t>3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 и в полосе 20 </w:t>
      </w:r>
      <w:proofErr w:type="gramStart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–  500</w:t>
      </w:r>
      <w:proofErr w:type="gramEnd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 Гц со спектральной плотностью виброускорения 0,96 м</w:t>
      </w:r>
      <w:r w:rsidRPr="00B608C3">
        <w:rPr>
          <w:rFonts w:ascii="Open Sans" w:eastAsia="Times New Roman" w:hAnsi="Open Sans" w:cs="Times New Roman"/>
          <w:color w:val="383838"/>
          <w:sz w:val="16"/>
          <w:szCs w:val="16"/>
          <w:vertAlign w:val="superscript"/>
        </w:rPr>
        <w:t>2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/с</w:t>
      </w:r>
      <w:r w:rsidRPr="00B608C3">
        <w:rPr>
          <w:rFonts w:ascii="Open Sans" w:eastAsia="Times New Roman" w:hAnsi="Open Sans" w:cs="Times New Roman"/>
          <w:color w:val="383838"/>
          <w:sz w:val="16"/>
          <w:szCs w:val="16"/>
          <w:vertAlign w:val="superscript"/>
        </w:rPr>
        <w:t>3</w:t>
      </w: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 на частоте 20 Гц, далее – 3 дБ/октава.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3.      Абонентские терминалы работоспособны и сохраняют рабочие параметры после транспортирования в упакованном виде при механических воздействиях в виде ударов, длительностью ударного импульса 6 мс при пиковом ударном ускорении 25g и числе ударов в каждом направлении – 4000.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_____________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Приложение № 10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 абонентских терминалов сетей подвижной радиотелефонной связи стандарта UMTS с частотным дуплексным разносом и частотно-кодовым разделением радиоканалов, работающих в диапазоне частот 900 МГц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Справочно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Список используемых сокращений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1.           UMTS – Universal Mobile Telecommunications System (Универсальная Система Подвижной Связи).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2.           HSDPA – High Speed Downlink Packet Access (Доступ к </w:t>
      </w:r>
      <w:proofErr w:type="gramStart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высокоскоростным  пакетным</w:t>
      </w:r>
      <w:proofErr w:type="gramEnd"/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данным на линии «вниз»).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3.           HSUPA – High Speed Uplink Packet Access (Доступ к высокоскоростным пакетным данным на линии «вверх»).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4.           GSM – Global System Mobile (Глобальная система подвижной связи).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5.           IMEI – International Mobile station Equipment Identity (Международный Идентификатор Оборудования Подвижной станции).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6.           UICC – UMTS IC Card (Интеллектуальная карта UMTS).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7.           USIM – UMTS Subscriber Identity Module (Идентификационный модуль абонента UMTS).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8.           DPCCH – Dedicated Physical Common CHannel (Выделенный общий физический канал).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9.           DPCH – Dedicated Physical CHannel (Выделенный физический канал).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10.       DPDCH – Dedicated Physical Data CHannel (Выделенный физический канал данных).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11.       E-DCH – Enhanced Dedicated CHannel (Улучшенный выделенный канал).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12.       E-DPCCH – Enhanced Dedicated Physical Common CHannel (Улучшенный выделенный общий физический канал). 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13.       E-DPDCH – Enhanced Dedicated Physical Data CHannel (Улучшенный выделенный физический канал данных).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14.       HS-DPCCH – High Speed Dedicated Physical Control CHannel (Высокоскоростной выделенный канал управления).</w:t>
      </w:r>
    </w:p>
    <w:p w:rsidR="00B608C3" w:rsidRPr="00B608C3" w:rsidRDefault="00B608C3" w:rsidP="00B608C3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B608C3">
        <w:rPr>
          <w:rFonts w:ascii="Open Sans" w:eastAsia="Times New Roman" w:hAnsi="Open Sans" w:cs="Times New Roman"/>
          <w:color w:val="383838"/>
          <w:sz w:val="21"/>
          <w:szCs w:val="21"/>
        </w:rPr>
        <w:t>15.       UARFCN – UTRA Absolute Radio Frequency Channel Number (Условный номер частотного радиоканала в системе UMTS).</w:t>
      </w:r>
    </w:p>
    <w:p w:rsidR="00A41093" w:rsidRDefault="00CA7E4F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C3"/>
    <w:rsid w:val="002600DE"/>
    <w:rsid w:val="00303539"/>
    <w:rsid w:val="003F4E85"/>
    <w:rsid w:val="003F782B"/>
    <w:rsid w:val="00491B25"/>
    <w:rsid w:val="004E5A33"/>
    <w:rsid w:val="006D0E08"/>
    <w:rsid w:val="00B608C3"/>
    <w:rsid w:val="00CA7E4F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AADC0472-B897-7B44-9EBA-C1CE0735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08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B608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B60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5024</Words>
  <Characters>28642</Characters>
  <Application>Microsoft Office Word</Application>
  <DocSecurity>0</DocSecurity>
  <Lines>238</Lines>
  <Paragraphs>67</Paragraphs>
  <ScaleCrop>false</ScaleCrop>
  <Company/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2</cp:revision>
  <dcterms:created xsi:type="dcterms:W3CDTF">2019-01-31T16:50:00Z</dcterms:created>
  <dcterms:modified xsi:type="dcterms:W3CDTF">2019-01-31T16:50:00Z</dcterms:modified>
</cp:coreProperties>
</file>