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N 15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Решению Коллегии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Евразийской экономической комиссии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21 апреля 2015 г. N 30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ВВОЗЕ НА ТАМОЖЕННУЮ ТЕРРИТОРИЮ ЕВРАЗИЙСКОГО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ЭКОНОМИЧЕСКОГО СОЮЗА РАДИОЭЛЕКТРОННЫХ СРЕДСТВ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ВЫСОКОЧАСТОТНЫХ УСТРОЙСТВ ГРАЖДАНСКОГО НАЗНАЧЕНИЯ,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ТОМ ЧИСЛЕ ВСТРОЕННЫХ ЛИБО ВХОДЯЩИХ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СОСТАВ ДРУГИХ ТОВАРОВ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Список изменяющих документов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(введено решением Коллегии Евразийской экономической комиссии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06.10.2015 N 131)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Настоящее Положение определяет порядок ввоза на таможенную территорию Евразийского экономического союза (далее соответственно - ввоз, Союз) радиоэлектронных средств и высокочастотных устройств гражданского назначения, в том числе встроенных либо входящих в состав других товаров, включенных в раздел 2.16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N 7 к Договору о Евразийском экономическом союзе от 29 мая 2014 года) (далее соответственно - радиоэлектронные средства и (или) высокочастотные устройства, единый перечень).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Ввоз радиоэлектронных средств и (или) высокочастотных устройств в случае наличия их в составе специальных технических средств, предназначенных для негласного получения информации, включенных в раздел 2.17 единого перечня,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средств, предназначенных для негласного получения информации (приложение N 16 к Решению Коллегии Евразийской экономической комиссии от 21 апреля 2015 г. N 30).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Для целей настоящего Положения используемые понятия означают следующее: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"высокочастотные устройства" - оборудование или приборы, предназначенные для генерирования и использования радиочастотной энергии в промышленных, научных, медицинских, бытовых или иных целях, за исключением применения в области электросвязи;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"единый реестр" - единый реестр радиоэлектронных средств и высокочастотных устройств, при ввозе которых на таможенную территорию Союза не требуется представление лицензии или заключения (разрешительного документа), формируемый в порядке согласно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приложению N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"радиоэлектронные средства" - технические средства, предназначенные для передачи и (или) приема радиоволн, состоящие из одного или нескольких передающих и (или) приемных устройств либо комбинации таких устройств, включающие в себя вспомогательное оборудование.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(приложение N 7 к Договору о Евразийском экономическом союзе от 29 мая 2014 года) и международными договорами, входящими в право Союза.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Ввоз радиоэлектронных средств и (или) высокочастотных устройств осуществляется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N 199 (далее - лицензия), или заключения (разрешительного документа), составленного по форме, утвержденной Решением Коллегии Евразийской экономической комиссии от 16 мая 2012 г. N 45 (далее - заключение (разрешительный документ)), либо при наличии сведений о том, что радиоэлектронные средства и (или) высокочастотные устройства включены в единый реестр (при наличии регистрационного номера в едином реестре) (далее - сведения о включении в единый реестр).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Ввоз радиоэлектронных средств и (или) высокочастотных устройств без лицензии, заключения (разрешительного документа) или сведений о включении в единый реестр осуществляется в следующих случаях: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радиоэлектронные средства и (или) высокочастотные устройства включены в перечень согласно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приложению N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радиоэлектронные средства и (или) высокочастотные устройства установлены на транспортных средствах международной перевозки (включая порожние), зарегистрированных на территориях третьих государств;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радиоэлектронные средства и (или) высокочастотные устройства ввозятся без права их эксплуатации (применения, использования) на таможенной территории Союза, предназначены для ремонта или установки на транспортные и другие технические средства, изготовляемые на таможенной территории Союза, и подлежат обратному вывозу с таможенной территории Союза в составе транспортных и других технических средств, полученных в результате изготовления, или после ремонта радиоэлектронных средств и (или) высокочастотных устройств.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Ввоз радиоэлектронных средств и (или)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- члена Союза (далее - государство-член) заключения (разрешительного документа). При ввозе радиоэлектронных средств и (или) высокочастотных устройств, содержащихся в едином реестре или включенных в перечень, предусмотренный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приложением N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 настоящему Положению, получение и представление таможенному органу государства-члена заключения (разрешительного документа) не требуются.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Помещение под таможенные процедуры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Помещение радиоэлектронных средств и (или)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государства-члена лицензии или сведений о включении в единый реестр.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Помещение радиоэлектронных средств и (или) высокочастотных устройств под таможенные процедуры переработки для внутреннего потребления, переработки на таможенной территории, временного ввоза (допуска), свободной таможенной зоны, свободного склада,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государства-члена заключения (разрешительного документа) или сведений о включении в единый реестр, если иное не установлено настоящим Положением.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иных случаях при помещении под таможенную процедуру реимпорта радиоэлектронных средств и (или) высокочастотных устройств представление таможенному органу государства-члена заключения (разрешительного документа) или сведений о включении в единый реестр не требуется.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Представление таможенному органу государства-члена лицензии, заключения (разрешительного документа) или сведений о включении в единый реестр не требуется в следующих случаях: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помещение под таможенные процедуры радиоэлектронных средств и (или) высокочастотных устройств, включенных в перечень, предусмотренный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приложением N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 настоящему Положению;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помещение радиоэлектронных средств и (или) высокочастотных устройств под таможенные процедуры таможенного транзита, таможенного склада, уничтожения, беспошлинной торговли, отказа в пользу государства;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в) помещение под таможенную процедуру временного ввоза (допуска) радиоэлектронных средств и (или) высокочастотных устройств в составе бортового оборудования воздушных, морских (речных) судов, а также в составе запасных частей и оборудования, предназначенных для установки на воздушные, морские (речные) суда для замены неисправных радиоэлектронных средств и (или) высокочастотных устройств из состава бортового оборудования, с последующим вывозом с таможенной территории Союза замененных (снятых) радиоэлектронных средств и (или) высокочастотных устройств.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В случае если в состав радиоэлектронных средств и (или) высокочастотных устройств входят шифровальные (криптографические) средства, включенные в раздел 2.19 единого перечня, или радиоэлектронные средства и (или) высокочастотные устройства входят в состав продукции, содержащей шифровальные (криптографические) средства, то: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при их помещении под таможенные процедуры, указанные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пунктах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Положения, дополнительно к сведениям о включении в единый реестр, представляемым в соответствии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пунктами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Положения, или заключению (разрешительному документу), представляемому в соответствии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пунктом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Положения, таможенному органу государства-члена представляются документы или сведения, предусмотренные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пунктом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при их помещении под таможенные процедуры таможенного склада, беспошлинной торговли, отказа в пользу государства, таможенного транзита для перевозки от таможенного органа в месте прибытия на таможенную территорию Союза до внутреннего таможенного органа,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государства-члена представляются документы или сведения, предусмотренные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Положением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N 9 к Решению Коллегии Евразийской экономической комиссии от 21 апреля 2015 г. N 30) (далее - Положение о ввозе и вывозе шифровальных (криптографических) средств).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Выдача лицензии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Для оформления лицензии юридические лица и физические лица, зарегистрированные в качестве индивидуальных предпринимателей (далее - заявители),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1 - 5 пункта 10 Правил выдачи лицензий и разрешений на экспорт и (или) импорт товаров (приложение к приложению N 7 к Договору о Евразийском экономическом союзе от 29 мая 2014 года) (далее - Правила), а также в соответствии с подпунктом 6 пункта 10 Правил следующие документы и сведения: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иные документы и сведения, предусмотренные законодательством государства-члена.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В случае если в состав ввозимых радиоэлектронных средств и (или) высокочастотных устройств входят шифровальные (криптографические) средства, включенные в раздел 2.19 единого перечня, или если радиоэлектронные средства и (или) высокочастотные устройства входят в состав продукции, содержащей шифровальные (криптографические) средства, заявитель дополнительно представляет в соответствии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Положением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 ввозе и вывозе шифровальных (криптографических) средств либо заключение (разрешительный документ) на ввоз шифровальных (криптографических) средств, выданное органом государственной власти государства-члена в области обеспечения государственной (национальной) безопасности, либо сведения о зарегистрированной нотификации (номер, дата).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Копии документов, представляемые заявителем, должны быть заверены в порядке, установленном пунктом 11 Правил.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 - согласующий орган), то такое согласование осуществляется в порядке, предусмотренном законодательством этого государства-члена.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Заявителем, если это предусмотрено законодательством государства-члена, в согласующий орган представляются документы, указанные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пункте 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Положения. При этом в уполномоченный орган документы, указанные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подпункте "б" пункта 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Положения, не представляются.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Согласование может осуществляться посредством выдачи заключения (разрешительного документа).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 В выдаче лицензии отказывается при наличии оснований, предусмотренных подпунктами 1 - 4 пункта 14 Правил, а также в соответствии с подпунктом 6 пункта 14 Правил - в случае отказа согласующего органа в согласовании заявления на выдачу лицензии.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 Выдача заключения (разрешительного документа)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 Выдача заключения (разрешительного документа) осуществляется уполномоченным на выдачу заключений (разрешительных документов) органом государства-члена в порядке, определенном законодательством этого государства.</w:t>
      </w:r>
    </w:p>
    <w:bookmarkStart w:colFirst="0" w:colLast="0" w:name="1t3h5sf" w:id="1"/>
    <w:bookmarkEnd w:id="1"/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 Заключение (разрешительный документ) выдается при представлении в уполномоченный на выдачу заключений (разрешительных документов) орган государства-члена следующих документов и сведений: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заявителем: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экономической комиссии от 16 мая 2012 г. N 45;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иные документы и сведения, предусмотренные законодательством государства-члена;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физическим лицом: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проект заключения (разрешительного документа), оформленный в соответствии с методическими указаниями, предусмотренными абзацем вторым подпункта "а" настоящего пункта;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информация о ввозимых радиоэлектронных средствах и (или) высокочастотных устройствах (наименование,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радиосигнала));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иные документы и сведения, предусмотренные законодательством государства-члена.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 В выдаче заключения (разрешительного документа) отказывается при наличии следующих оснований: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а) непредставление документов, предусмотренных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пунктом 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настоящего Положения;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б) несоответствие технических характеристик ввозимых радиоэлектронных средств и (или) высокочастотных устройств техническим характеристикам, предусмотренным законодательством государства-члена;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в) наличие неполных или недостоверных сведений в документах, представленных для получения заключения (разрешительного документа);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г) иные основания, предусмотренные законодательством государства-члена.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N 1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Положению о ввозе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таможенную территорию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Евразийского экономического союза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радиоэлектронных средств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высокочастотных устройств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гражданского назначения,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том числе встроенных либо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входящих в состав других товаров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ПОРЯДОК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ФОРМИРОВАНИЯ ЕДИНОГО РЕЕСТРА РАДИОЭЛЕКТРОННЫХ СРЕДСТВ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ВЫСОКОЧАСТОТНЫХ УСТРОЙСТВ ГРАЖДАНСКОГО НАЗНАЧЕНИЯ,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ТОМ ЧИСЛЕ ВСТРОЕННЫХ ЛИБО ВХОДЯЩИХ В СОСТАВ ДРУГИХ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ТОВАРОВ, ПРИ ВВОЗЕ КОТОРЫХ НА ТАМОЖЕННУЮ ТЕРРИТОРИЮ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ЕВРАЗИЙСКОГО ЭКОНОМИЧЕСКОГО СОЮЗА НЕ ТРЕБУЕТСЯ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ПРЕДСТАВЛЕНИЕ ЛИЦЕНЗИИ ИЛИ ЗАКЛЮЧЕНИЯ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(РАЗРЕШИТЕЛЬНОГО ДОКУМЕНТА)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 (далее соответственно - единый реестр, радиоэлектронные средства и (или) высокочастотные устройства), формируется Евразийской экономической комиссией на основе представляемых государственными органами в области связи государств - членов Евразийского экономического союза (далее соответственно - Комиссия, государственные органы, государства-члены, Союз) предложений, содержащих сведения о радиоэлектронных средствах и (или) высокочастотных устройствах, при ввозе которых на таможенную территорию Союза не требуется представление лицензии или заключения (разрешительного документа).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Единый реестр размещается на официальном сайте Союза в информационно-телекоммуникационной сети "Интернет".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Сведения о радиоэлектронных средствах и (или) высокочастотных устройствах в виде файла в формате *.xls представляются государственными органами в Комиссию с официальным письмом (далее - предложение) посредством почтовой и электронной связи.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Описание структуры единого реестра и файла данных для внесения в единый реестр, представляемого в Комиссию для внесения в единый реестр, приведено в таблице.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62.0" w:type="pct"/>
        <w:tblLayout w:type="fixed"/>
        <w:tblLook w:val="0000"/>
      </w:tblPr>
      <w:tblGrid>
        <w:gridCol w:w="2286"/>
        <w:gridCol w:w="2820"/>
        <w:gridCol w:w="2821"/>
        <w:gridCol w:w="1772"/>
        <w:tblGridChange w:id="0">
          <w:tblGrid>
            <w:gridCol w:w="2286"/>
            <w:gridCol w:w="2820"/>
            <w:gridCol w:w="2821"/>
            <w:gridCol w:w="17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Тип поля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Смысловое 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Обязательность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Номер в едином реестре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символьный, в формате: XXNNNNNNNNNN,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где XX - код страны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  <w:rtl w:val="0"/>
              </w:rPr>
              <w:t xml:space="preserve">&lt;*&gt;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NNNNNNNNNN - порядковый номер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регистрационный номер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заполняется Комиссией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Дата включения в единый реестр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в формате ДД.ММ.ГГГГ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включения в единый реестр радиоэлектронного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заполняется Комиссией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Название государства-члена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государства-члена, предложившего включение сведений о радиоэлектронном средстве или высокочастотном устройстве в единый реестр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Наименование и тип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и тип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Модель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модели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Полоса радиочастот, радиочастотный канал или радиочастота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полоса радиочастот, радиочастотный канал или радиочастота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Единица измерения частоты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 частоты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Мощность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мощность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Единица измерения мощности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 мощности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Изготовитель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изготовителя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Страна изготовителя радиоэлектронного средства или высокочастотного устройства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страны изготовителя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Иная техническая информация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символьный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дополнительная техническая информация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Статус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логический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статус записи в едином реестре: действует/аннулирована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Срок действия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в формате ДД.ММ.ГГГГ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исключения радиоэлектронного средства или высокочастотного устройства из единого реестра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заполняется государственным органом или Комиссией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Возможность ввоза на территорию Республики Беларусь физическими лицами для личного пользования </w:t>
            </w:r>
            <w:hyperlink w:anchor="17dp8vu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&lt;**&gt;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логический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статус записи в едином реестре: да/нет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2s8eyo1" w:id="2"/>
    <w:bookmarkEnd w:id="2"/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&lt;*&gt; XX - код страны в соответствии с классификатором стран мира (AM - Республика Армения, BY - Республика Беларусь, KZ - Республика Казахстан, KG - Кыргызская Республика, RU - Российская Федерация).</w:t>
      </w:r>
    </w:p>
    <w:bookmarkStart w:colFirst="0" w:colLast="0" w:name="17dp8vu" w:id="3"/>
    <w:bookmarkEnd w:id="3"/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&lt;**&gt; Применяется в отношении радиоэлектронных средств и (или) высокочастотных устройств, ввозимых на территорию Республики Беларусь физическими лицами в качестве товаров для личного пользования.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Государственные органы несут ответственность за полноту и достоверность представляемых сведений.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Полученное от государственного органа предложение Комиссия направляет посредством электронной связи государственным органам других государств-членов.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Государственные органы других государств-членов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Включение сведений о радиоэлектронных средствах и (или) высокочастотных устройствах в единый реестр осуществляется на срок, согласованный государственными органами, но не более 10 лет с даты включения их в единый реестр.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органа, содержащего обоснование исключения этих сведений из единого реестра (с указанием соответствующего номера в едином реестре, наименования, модели и данных о производителе радиоэлектронного средства или высокочастотного устройства).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Полученное от государственного органа предложение об исключении из единого реестра радиоэлектронных средств и (или) высокочастотных устройств Комиссия направляет посредством электронной связи государственным органам других государств-членов.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Комиссия и государственные органы информируют друг друга об электронных адресах, используемых для приема данных.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при необходимости организовывает консультации представителей государственных органов по вопросам ведения единого реестра.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Сведения о радиоэлектронных средствах и (или) высокочастотных устройствах, содержащиеся в едином реестре, указываются в таможенной декларации на товары в соответствии с единым реестром с указанием их регистрационного номера.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N 2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Положению о ввозе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таможенную территорию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Евразийского экономического союза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радиоэлектронных средств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 высокочастотных устройств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гражданского назначения,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том числе встроенных либо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входящих в состав других товаров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rdcrjn" w:id="4"/>
    <w:bookmarkEnd w:id="4"/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РАДИОЭЛЕКТРОННЫХ СРЕДСТВ И (ИЛИ) ВЫСОКОЧАСТОТНЫХ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УСТРОЙСТВ ГРАЖДАНСКОГО НАЗНАЧЕНИЯ, В ТОМ ЧИСЛЕ ВСТРОЕННЫХ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ЛИБО ВХОДЯЩИХ В СОСТАВ ДРУГИХ ТОВАРОВ, ПРИ ВВОЗЕ КОТОРЫХ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ТАМОЖЕННУЮ ТЕРРИТОРИЮ ЕВРАЗИЙСКОГО ЭКОНОМИЧЕСКОГО СОЮЗА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ТРЕБУЕТСЯ ПРЕДСТАВЛЕНИЕ ЛИЦЕНЗИИ, ЗАКЛЮЧЕНИЯ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(РАЗРЕШИТЕЛЬНОГО ДОКУМЕНТА) ИЛИ СВЕДЕНИЙ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ЕДИНОГО РЕЕСТРА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Бытовые СВЧ-печи и бытовые индукционные печи.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Высокочастотные устройства, использующие полосы радиочастот (радиочастоты и мощность) по перечню согласно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приложению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Радиоэлектронные средства различного применения для передачи или приема голоса, изображения, данных и (или) других видов информации, в том числе встроенные либо входящие в состав других товаров: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оконечная (абонентская) аппаратура передающая, включающая в себя приемное устройство, для сотовых сетей связи (мобильные телефоны, а также модемы, применяемые в сотовых сетях связи), в том числе встроенная либо входящая в состав других устройств;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радиостанции, работающие в полосе радиочастот 433,075 - 434,790 МГц, с выходной мощностью передатчика не более 10 мВт;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радиостанции, работающие в полосе радиочастот 446,0 - 446,1 МГц, с выходной мощностью передатчика не более 0,5 Вт;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радиостанции диапазона 27 МГц, работающие в полосе радиочастот 26,965 - 27,860 МГц, с выходной мощностью передатчика не более 5 Вт;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аппаратура передающая, включающая в себя приемное устройство, малого радиуса действия стандарта IEEE 802.15, различных серий (модификаций), работающая в полосе радиочастот 2400 - 2483,5 МГц, с выходной мощностью передатчика не более 100 мВт, в том числе встроенная либо входящая в состав других устройств;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6) оконечная (абонентская) аппаратура передающая, включающая в себя приемное устройство, малого радиуса действия стандарта IEEE 802.11, различных серий (модификаций), работающая в полосе радиочастот 2400 - 2483,5 МГц, с выходной мощностью передатчика не более 100 мВт, в том числе встроенная либо входящая в состав других устройств;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 оконечная (абонентская) аппаратура передающая, включающая в себя приемное устройство, малого радиуса действия стандарта IEEE 802.11, различных серий (модификаций), работающая в полосах радиочастот 5150 - 5350 МГц и 5650 - 5725 МГц, с выходной мощностью передатчика не более 100 мВт, в том числе встроенная либо входящая в состав других устройств;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8) оконечная (абонентская) аппаратура передающая, включающая в себя приемное устройство, стандартов IEEE 802.16 и IEEE 802.16e (WiMAX), работающая в полосах радиочастот 2500 - 2690 МГц и 3400 - 3600 МГц, с выходной мощностью передатчика не более 1 Вт, в том числе встроенная либо входящая в состав других устройств (полоса радиочастот 3400 - 3600 МГц не распространяется в отношении Российской Федерации);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9) радиоприемные средства, не содержащие радиоизлучающих устройств, предназначенные для приема программ телевизионного и радиовещания, включая спутниковое вещание, слуховые аппараты и радиотренажеры для людей с нарушением (дефектами) слуха, устройства персонального радиовызова, системы спутниковой радионавигации, в том числе встроенные либо входящие в состав других устройств;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10) базовые и абонентские блоки бесшнуровых телефонных аппаратов технологии "DECT", работающие в полосе радиочастот 1880 - 1900 МГц, с выходной мощностью передатчика не более 10 мВт;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11) устройства для обнаружения и спасения пострадавших от стихийных бедствий, работающие на радиочастоте 457 кГц;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12) устройства радиочастотной идентификации, работающие в полосе радиочастот 13,553 - 13,567 МГц;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13) радиоэлектронные средства для обработки штрихкодовых этикеток, RFID-меток и передачи информации, полученной с этих этикеток и меток, работающие в полосе радиочастот 433,05 - 434,79 (433,92 +/- 0,2%) МГц, с выходной мощностью передатчика не более 10 мВт;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14) аппаратура (устройства) малого радиуса действия дистанционного управления и передачи телеметрии, телеуправления, сигнализации, передачи данных и других подобных передач, работающая в полосе радиочастот 433,050 - 434,79 МГц, с выходной мощностью передатчика не более 10 мВт;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15) устройства охранной радиосигнализации, автоматических радиопередатчиков для подачи сигналов бедствия: работающие на радиочастотах 26,945 МГц и 26,960 МГц, с выходной мощностью передатчика не более 2 Вт; работающие в полосе радиочастот 433,05 - 434,79 (433,92 +/- 0,2%) МГц, с выходной мощностью передатчика не более 5 мВт; работающие в полосе радиочастот 868 - 868,2 МГц, с выходной мощностью передатчика не более 10 мВт;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16) беспроводные системы приборов и аксессуаров (слуховых аппаратов и радиотренажеров) для людей с нарушением (дефектами) слуха, работающие в полосах радиочастот до 230 МГц и не использующие полосы радиочастот 108 - 144 МГц, 148 - 151 МГц, 162,7 - 163,2 и 168,5 - 174 МГц, с выходной мощностью передатчика не более 10 мВт;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17) аппаратура радиоуправления моделями самолетов, катеров и т.п., работающая в полосах радиочастот 28,0 - 28,2 МГц и 40,66 - 40,70 МГц, с выходной мощностью передатчика не более 1 Вт;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18) детские радиопереговорные устройства и радиоуправляемые игрушки, работающие в полосе радиочастот 26957 - 27283 кГц, с выходной мощностью передатчика не более 10 мВт;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19) детские радиосигнальные и радиопереговорные устройства, а также устройства радиоконтроля за ребенком, работающие в полосах радиочастот 38,7 - 39,23 МГц и 40,66 - 40,7 МГц, с выходной мощностью передатчика не более 10 мВт, а также в полосе радиочастот 863,933 - 864,045 МГц, с выходной мощностью передатчика не более 2 мВт;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20) радиомикрофоны, работающие в полосах радиочастот 66 - 74 МГц и 87,5 - 92 МГц, с допустимой мощностью излучения передатчика до 10 мВт включительно (типа "караоке").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перечню радиоэлектронных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средств и (или) высокочастотных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устройств гражданского назначения,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том числе встроенных либо входящих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состав других товаров, при ввозе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которых на таможенную территорию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Евразийского экономического союза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требуется представление лицензии,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заключения (разрешительного документа)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или сведений из единого реестра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ПОЛОС РАДИОЧАСТОТ ИЛИ НОМИНАЛЬНЫХ ЗНАЧЕНИЙ РАДИОЧАСТОТ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ВЫСОКОЧАСТОТНЫХ УСТРОЙСТВ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7.0" w:type="dxa"/>
        <w:jc w:val="left"/>
        <w:tblInd w:w="62.0" w:type="pct"/>
        <w:tblLayout w:type="fixed"/>
        <w:tblLook w:val="0000"/>
      </w:tblPr>
      <w:tblGrid>
        <w:gridCol w:w="558"/>
        <w:gridCol w:w="2479"/>
        <w:gridCol w:w="1701"/>
        <w:gridCol w:w="3119"/>
        <w:gridCol w:w="1820"/>
        <w:tblGridChange w:id="0">
          <w:tblGrid>
            <w:gridCol w:w="558"/>
            <w:gridCol w:w="2479"/>
            <w:gridCol w:w="1701"/>
            <w:gridCol w:w="3119"/>
            <w:gridCol w:w="18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Полосы радиочастот или номинальные значения радиочастот с допускаемыми отклонениями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Мощность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1,0 кГц +/- 20%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0,8 - 1,2 кГц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2,4 кГц +/- 7,5%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2,2 - 2,6 кГц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кГц +/- 7,5%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3,7 - 4,3 кГц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кГц +/- 7,5%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7,4 - 8,6 кГц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кГц +/- 7,5%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9,2 - 10,8 кГц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 кГц +/- 7,5%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10,1 - 11,9 кГц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кГц +/- 7,5%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14,8 - 17,2 кГц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кГц +/- 7,5%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16,7 - 19,4 кГц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кГц +/- 7,5%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18,5 - 21,5 кГц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 кГц +/- 7,5%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20,4 - 23,7 кГц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кГц +/- 7,5%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27,7 - 32,3 кГц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 кГц +/- 7,5%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37 - 43 кГц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 кГц +/- 10%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40 - 48 кГц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 кГц +/- 10%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54 - 66 кГц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 кГц + 12% - 10%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59 - 74 кГц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 кГц +/- 2,5%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175,5 - 184,5 кГц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205 кГц +/- 2,5%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200 - 210 кГц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215 кГц +/- 2,5%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210 - 220 кГц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225 кГц +/- 2,5%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220 - 230 кГц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235 кГц +/- 2,5%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230 - 240 кГц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245 кГц +/- 2,5%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239 - 251 кГц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255 кГц +/- 2,5%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249 - 261 кГц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265 кГц +/- 2,5%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259 - 271 кГц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275 кГц +/- 2,5%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269 - 281 кГц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288 кГц +/- 2,5%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281 - 295 кГц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 кГц +/- 2,5%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292,5 - 307,5 кГц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302 кГц +/- 2,5%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295 - 309 кГц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316 кГц +/- 2,5%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309 - 323 кГц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330 кГц +/- 2,5%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322 - 338 кГц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338 кГц +/- 2,5%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330 - 346 кГц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354 кГц +/- 2,5%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346 - 362 кГц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372 кГц +/- 2,5%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363 - 381 кГц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390 кГц +/- 2,5%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381 - 399 кГц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кГц +/- 2,5%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390 - 410 кГц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410 кГц +/- 2,5%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400 - 420 кГц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 кГц +/- 2,5%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420 - 440 кГц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440 кГц +/- 2,5%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429 - 451 кГц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 кГц +/- 2,5%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439 - 461 кГц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472 кГц +/- 2,5%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461 - 483 кГц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495 кГц +/- 2,5%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484 - 507 кГц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519 кГц +/- 2,5%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507 - 531 кГц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кГц +/- 2,5%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585 - 615 кГц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871 кГц +/- 2,5%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850 - 892 кГц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880 кГц +/- 1,0%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871 - 889 кГц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914 кГц +/- 2,5%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892 - 936 кГц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959 кГц +/- 2,5%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936 - 982 кГц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1007 кГц +/- 2,5%</w:t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982 - 1032 кГц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1058 кГц +/- 2,5%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1032 - 1084 кГц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1060 кГц +/- 2,5%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1033,5 - 1086,5 кГц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1112 кГц +/- 2,5%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1085 - 1139 кГц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1168 кГц +/- 2,5%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1139 - 1197 кГц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1760 кГц +/- 2,5%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1720 - 1800 кГц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2200 кГц +/- 2,5%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2145 - 2255 кГц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2640 кГц +/- 1,0%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2610 - 2670 кГц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5280 кГц +/- 2,5%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5150 - 5410 кГц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6780 кГц +/- 0,2%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6767 - 6794 кГц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13560 кГц +/- 1,0%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13424 - 13696 кГц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27120 кГц +/- 1,0%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26850 - 27390 кГц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40,68 МГц +/- 1,0%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40,3 - 41,1 МГц</w:t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81,36 МГц +/- 1,0%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80,6 - 82,2 МГц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433,92 МГц +/- 0,2%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433,05 - 434,79 МГц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915 МГц +/- 1,4%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902 - 928 МГц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2450 МГц +/- 2,0%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2400 - 2500 МГц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5800 МГц +/- 1,3%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5725 - 5875 МГц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24,125 ГГц +/- 0,5%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24,0 - 24,25 ГГц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42,3 ГГц +/- 2,5%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41,3 - 43,4 ГГц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46,2 ГГц +/- 2,5%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45,0 - 47,4 ГГц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48,4 ГГц +/- 2,5%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47,2 - 49,6 ГГц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61,25 ГГц +/- 0,4%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61,0 - 61,5 ГГц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122,5 ГГц +/- 0,4%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122,0 - 123,0 ГГц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245 ГГц +/- 0,4%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или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244,0 - 246,0 ГГц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более 5 Вт</w:t>
            </w:r>
          </w:p>
        </w:tc>
      </w:tr>
    </w:tbl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