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5D" w:rsidRPr="00386D5D" w:rsidRDefault="00386D5D" w:rsidP="00386D5D">
      <w:pPr>
        <w:pStyle w:val="ConsPlusNormal"/>
        <w:jc w:val="right"/>
        <w:outlineLvl w:val="0"/>
        <w:rPr>
          <w:color w:val="000000" w:themeColor="text1"/>
        </w:rPr>
      </w:pPr>
      <w:bookmarkStart w:id="0" w:name="_GoBack"/>
      <w:r w:rsidRPr="00386D5D">
        <w:rPr>
          <w:color w:val="000000" w:themeColor="text1"/>
        </w:rPr>
        <w:t>Приложение N 9</w:t>
      </w:r>
    </w:p>
    <w:p w:rsidR="00386D5D" w:rsidRPr="00386D5D" w:rsidRDefault="00386D5D" w:rsidP="00386D5D">
      <w:pPr>
        <w:pStyle w:val="ConsPlusNormal"/>
        <w:jc w:val="right"/>
        <w:rPr>
          <w:color w:val="000000" w:themeColor="text1"/>
        </w:rPr>
      </w:pPr>
      <w:r w:rsidRPr="00386D5D">
        <w:rPr>
          <w:color w:val="000000" w:themeColor="text1"/>
        </w:rPr>
        <w:t>к Решению Коллегии</w:t>
      </w:r>
    </w:p>
    <w:p w:rsidR="00386D5D" w:rsidRPr="00386D5D" w:rsidRDefault="00386D5D" w:rsidP="00386D5D">
      <w:pPr>
        <w:pStyle w:val="ConsPlusNormal"/>
        <w:jc w:val="right"/>
        <w:rPr>
          <w:color w:val="000000" w:themeColor="text1"/>
        </w:rPr>
      </w:pPr>
      <w:r w:rsidRPr="00386D5D">
        <w:rPr>
          <w:color w:val="000000" w:themeColor="text1"/>
        </w:rPr>
        <w:t>Евразийской экономической комиссии</w:t>
      </w:r>
    </w:p>
    <w:p w:rsidR="00386D5D" w:rsidRPr="00386D5D" w:rsidRDefault="00386D5D" w:rsidP="00386D5D">
      <w:pPr>
        <w:pStyle w:val="ConsPlusNormal"/>
        <w:jc w:val="right"/>
        <w:rPr>
          <w:color w:val="000000" w:themeColor="text1"/>
        </w:rPr>
      </w:pPr>
      <w:r w:rsidRPr="00386D5D">
        <w:rPr>
          <w:color w:val="000000" w:themeColor="text1"/>
        </w:rPr>
        <w:t>от 21 апреля 2015 г. N 30</w:t>
      </w:r>
    </w:p>
    <w:bookmarkEnd w:id="0"/>
    <w:p w:rsidR="00386D5D" w:rsidRPr="00386D5D" w:rsidRDefault="00386D5D" w:rsidP="00386D5D">
      <w:pPr>
        <w:pStyle w:val="ConsPlusNormal"/>
        <w:jc w:val="both"/>
        <w:rPr>
          <w:color w:val="000000" w:themeColor="text1"/>
        </w:rPr>
      </w:pPr>
    </w:p>
    <w:p w:rsidR="00386D5D" w:rsidRPr="00386D5D" w:rsidRDefault="00386D5D" w:rsidP="00386D5D">
      <w:pPr>
        <w:pStyle w:val="ConsPlusNormal"/>
        <w:jc w:val="center"/>
        <w:rPr>
          <w:color w:val="000000" w:themeColor="text1"/>
        </w:rPr>
      </w:pPr>
      <w:bookmarkStart w:id="1" w:name="Par20092"/>
      <w:bookmarkEnd w:id="1"/>
      <w:r w:rsidRPr="00386D5D">
        <w:rPr>
          <w:color w:val="000000" w:themeColor="text1"/>
        </w:rPr>
        <w:t>ПОЛОЖЕНИЕ</w:t>
      </w:r>
    </w:p>
    <w:p w:rsidR="00386D5D" w:rsidRPr="00386D5D" w:rsidRDefault="00386D5D" w:rsidP="00386D5D">
      <w:pPr>
        <w:pStyle w:val="ConsPlusNormal"/>
        <w:jc w:val="center"/>
        <w:rPr>
          <w:color w:val="000000" w:themeColor="text1"/>
        </w:rPr>
      </w:pPr>
      <w:r w:rsidRPr="00386D5D">
        <w:rPr>
          <w:color w:val="000000" w:themeColor="text1"/>
        </w:rPr>
        <w:t>О ВВОЗЕ НА ТАМОЖЕННУЮ ТЕРРИТОРИЮ ЕВРАЗИЙСКОГО</w:t>
      </w:r>
    </w:p>
    <w:p w:rsidR="00386D5D" w:rsidRPr="00386D5D" w:rsidRDefault="00386D5D" w:rsidP="00386D5D">
      <w:pPr>
        <w:pStyle w:val="ConsPlusNormal"/>
        <w:jc w:val="center"/>
        <w:rPr>
          <w:color w:val="000000" w:themeColor="text1"/>
        </w:rPr>
      </w:pPr>
      <w:r w:rsidRPr="00386D5D">
        <w:rPr>
          <w:color w:val="000000" w:themeColor="text1"/>
        </w:rPr>
        <w:t>ЭКОНОМИЧЕСКОГО СОЮЗА И ВЫВОЗЕ С ТАМОЖЕННОЙ ТЕРРИТОРИИ</w:t>
      </w:r>
    </w:p>
    <w:p w:rsidR="00386D5D" w:rsidRPr="00386D5D" w:rsidRDefault="00386D5D" w:rsidP="00386D5D">
      <w:pPr>
        <w:pStyle w:val="ConsPlusNormal"/>
        <w:jc w:val="center"/>
        <w:rPr>
          <w:color w:val="000000" w:themeColor="text1"/>
        </w:rPr>
      </w:pPr>
      <w:r w:rsidRPr="00386D5D">
        <w:rPr>
          <w:color w:val="000000" w:themeColor="text1"/>
        </w:rPr>
        <w:t>ЕВРАЗИЙСКОГО ЭКОНОМИЧЕСКОГО СОЮЗА ШИФРОВАЛЬНЫХ</w:t>
      </w:r>
    </w:p>
    <w:p w:rsidR="00386D5D" w:rsidRPr="00386D5D" w:rsidRDefault="00386D5D" w:rsidP="00386D5D">
      <w:pPr>
        <w:pStyle w:val="ConsPlusNormal"/>
        <w:jc w:val="center"/>
        <w:rPr>
          <w:color w:val="000000" w:themeColor="text1"/>
        </w:rPr>
      </w:pPr>
      <w:r w:rsidRPr="00386D5D">
        <w:rPr>
          <w:color w:val="000000" w:themeColor="text1"/>
        </w:rPr>
        <w:t>(КРИПТОГРАФИЧЕСКИХ) СРЕДСТВ</w:t>
      </w:r>
    </w:p>
    <w:p w:rsidR="00386D5D" w:rsidRPr="00386D5D" w:rsidRDefault="00386D5D" w:rsidP="00386D5D">
      <w:pPr>
        <w:pStyle w:val="ConsPlusNormal"/>
        <w:jc w:val="center"/>
        <w:rPr>
          <w:color w:val="000000" w:themeColor="text1"/>
        </w:rPr>
      </w:pPr>
      <w:r w:rsidRPr="00386D5D">
        <w:rPr>
          <w:color w:val="000000" w:themeColor="text1"/>
        </w:rPr>
        <w:t>Список изменяющих документов</w:t>
      </w:r>
    </w:p>
    <w:p w:rsidR="00386D5D" w:rsidRPr="00386D5D" w:rsidRDefault="00386D5D" w:rsidP="00386D5D">
      <w:pPr>
        <w:pStyle w:val="ConsPlusNormal"/>
        <w:jc w:val="center"/>
        <w:rPr>
          <w:color w:val="000000" w:themeColor="text1"/>
        </w:rPr>
      </w:pPr>
      <w:r w:rsidRPr="00386D5D">
        <w:rPr>
          <w:color w:val="000000" w:themeColor="text1"/>
        </w:rPr>
        <w:t>(в ред. решения Коллегии Евразийской экономической комиссии</w:t>
      </w:r>
    </w:p>
    <w:p w:rsidR="00386D5D" w:rsidRPr="00386D5D" w:rsidRDefault="00386D5D" w:rsidP="00386D5D">
      <w:pPr>
        <w:pStyle w:val="ConsPlusNormal"/>
        <w:jc w:val="center"/>
        <w:rPr>
          <w:color w:val="000000" w:themeColor="text1"/>
        </w:rPr>
      </w:pPr>
      <w:r w:rsidRPr="00386D5D">
        <w:rPr>
          <w:color w:val="000000" w:themeColor="text1"/>
        </w:rPr>
        <w:t>от 06.10.2015 N 131)</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jc w:val="center"/>
        <w:outlineLvl w:val="1"/>
        <w:rPr>
          <w:color w:val="000000" w:themeColor="text1"/>
        </w:rPr>
      </w:pPr>
      <w:r w:rsidRPr="00386D5D">
        <w:rPr>
          <w:color w:val="000000" w:themeColor="text1"/>
        </w:rPr>
        <w:t>I. Общие положения</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ind w:firstLine="540"/>
        <w:jc w:val="both"/>
        <w:rPr>
          <w:color w:val="000000" w:themeColor="text1"/>
        </w:rPr>
      </w:pPr>
      <w:r w:rsidRPr="00386D5D">
        <w:rPr>
          <w:color w:val="000000" w:themeColor="text1"/>
        </w:rP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386D5D" w:rsidRPr="00386D5D" w:rsidRDefault="00386D5D" w:rsidP="00386D5D">
      <w:pPr>
        <w:pStyle w:val="ConsPlusNormal"/>
        <w:jc w:val="both"/>
        <w:rPr>
          <w:color w:val="000000" w:themeColor="text1"/>
        </w:rPr>
      </w:pPr>
      <w:r w:rsidRPr="00386D5D">
        <w:rPr>
          <w:color w:val="000000" w:themeColor="text1"/>
        </w:rPr>
        <w:t>(в ред. решения Коллегии Евразийской экономической комиссии от 06.10.2015 N 131)</w:t>
      </w:r>
    </w:p>
    <w:p w:rsidR="00386D5D" w:rsidRPr="00386D5D" w:rsidRDefault="00386D5D" w:rsidP="00386D5D">
      <w:pPr>
        <w:pStyle w:val="ConsPlusNormal"/>
        <w:ind w:firstLine="540"/>
        <w:jc w:val="both"/>
        <w:rPr>
          <w:color w:val="000000" w:themeColor="text1"/>
        </w:rPr>
      </w:pPr>
      <w:r w:rsidRPr="00386D5D">
        <w:rPr>
          <w:color w:val="000000" w:themeColor="text1"/>
        </w:rPr>
        <w:t>2. Для целей настоящего Положения используемые понятия означают следующее:</w:t>
      </w:r>
    </w:p>
    <w:p w:rsidR="00386D5D" w:rsidRPr="00386D5D" w:rsidRDefault="00386D5D" w:rsidP="00386D5D">
      <w:pPr>
        <w:pStyle w:val="ConsPlusNormal"/>
        <w:ind w:firstLine="540"/>
        <w:jc w:val="both"/>
        <w:rPr>
          <w:color w:val="000000" w:themeColor="text1"/>
        </w:rPr>
      </w:pPr>
      <w:r w:rsidRPr="00386D5D">
        <w:rPr>
          <w:color w:val="000000" w:themeColor="text1"/>
        </w:rPr>
        <w:t>"единый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приложе</w:t>
      </w:r>
      <w:r w:rsidRPr="00386D5D">
        <w:rPr>
          <w:color w:val="000000" w:themeColor="text1"/>
        </w:rPr>
        <w:t>н</w:t>
      </w:r>
      <w:r w:rsidRPr="00386D5D">
        <w:rPr>
          <w:color w:val="000000" w:themeColor="text1"/>
        </w:rPr>
        <w:t>ию N 1 и публикуемый на официальном сайте Союза в информационно-телекоммуникационной сети "Интернет";</w:t>
      </w:r>
    </w:p>
    <w:p w:rsidR="00386D5D" w:rsidRPr="00386D5D" w:rsidRDefault="00386D5D" w:rsidP="00386D5D">
      <w:pPr>
        <w:pStyle w:val="ConsPlusNormal"/>
        <w:ind w:firstLine="540"/>
        <w:jc w:val="both"/>
        <w:rPr>
          <w:color w:val="000000" w:themeColor="text1"/>
        </w:rPr>
      </w:pPr>
      <w:r w:rsidRPr="00386D5D">
        <w:rPr>
          <w:color w:val="000000" w:themeColor="text1"/>
        </w:rPr>
        <w:t>"нотификация"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приложен</w:t>
      </w:r>
      <w:r w:rsidRPr="00386D5D">
        <w:rPr>
          <w:color w:val="000000" w:themeColor="text1"/>
        </w:rPr>
        <w:t>и</w:t>
      </w:r>
      <w:r w:rsidRPr="00386D5D">
        <w:rPr>
          <w:color w:val="000000" w:themeColor="text1"/>
        </w:rPr>
        <w:t>ю N 2, уведомление изготовителя товаров (уполномоченного изготовителем представителя) по форме согласно приложению N 3,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приложению N 4;</w:t>
      </w:r>
    </w:p>
    <w:p w:rsidR="00386D5D" w:rsidRPr="00386D5D" w:rsidRDefault="00386D5D" w:rsidP="00386D5D">
      <w:pPr>
        <w:pStyle w:val="ConsPlusNormal"/>
        <w:ind w:firstLine="540"/>
        <w:jc w:val="both"/>
        <w:rPr>
          <w:color w:val="000000" w:themeColor="text1"/>
        </w:rPr>
      </w:pPr>
      <w:r w:rsidRPr="00386D5D">
        <w:rPr>
          <w:color w:val="000000" w:themeColor="text1"/>
        </w:rP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386D5D" w:rsidRPr="00386D5D" w:rsidRDefault="00386D5D" w:rsidP="00386D5D">
      <w:pPr>
        <w:pStyle w:val="ConsPlusNormal"/>
        <w:ind w:firstLine="540"/>
        <w:jc w:val="both"/>
        <w:rPr>
          <w:color w:val="000000" w:themeColor="text1"/>
        </w:rPr>
      </w:pPr>
      <w:r w:rsidRPr="00386D5D">
        <w:rPr>
          <w:color w:val="000000" w:themeColor="text1"/>
        </w:rPr>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86D5D" w:rsidRPr="00386D5D" w:rsidRDefault="00386D5D" w:rsidP="00386D5D">
      <w:pPr>
        <w:pStyle w:val="ConsPlusNormal"/>
        <w:ind w:firstLine="540"/>
        <w:jc w:val="both"/>
        <w:rPr>
          <w:color w:val="000000" w:themeColor="text1"/>
        </w:rPr>
      </w:pPr>
      <w:r w:rsidRPr="00386D5D">
        <w:rPr>
          <w:color w:val="000000" w:themeColor="text1"/>
        </w:rPr>
        <w:t>3. Товары, включенные в раздел 2.19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386D5D" w:rsidRPr="00386D5D" w:rsidRDefault="00386D5D" w:rsidP="00386D5D">
      <w:pPr>
        <w:pStyle w:val="ConsPlusNormal"/>
        <w:jc w:val="both"/>
        <w:rPr>
          <w:color w:val="000000" w:themeColor="text1"/>
        </w:rPr>
      </w:pPr>
      <w:r w:rsidRPr="00386D5D">
        <w:rPr>
          <w:color w:val="000000" w:themeColor="text1"/>
        </w:rPr>
        <w:t>(в ред. решения Коллегии Евразийской экономической комиссии от 06.10.2015 N 131)</w:t>
      </w:r>
    </w:p>
    <w:p w:rsidR="00386D5D" w:rsidRPr="00386D5D" w:rsidRDefault="00386D5D" w:rsidP="00386D5D">
      <w:pPr>
        <w:pStyle w:val="ConsPlusNormal"/>
        <w:ind w:firstLine="540"/>
        <w:jc w:val="both"/>
        <w:rPr>
          <w:color w:val="000000" w:themeColor="text1"/>
        </w:rPr>
      </w:pPr>
      <w:r w:rsidRPr="00386D5D">
        <w:rPr>
          <w:color w:val="000000" w:themeColor="text1"/>
        </w:rP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386D5D" w:rsidRPr="00386D5D" w:rsidRDefault="00386D5D" w:rsidP="00386D5D">
      <w:pPr>
        <w:pStyle w:val="ConsPlusNormal"/>
        <w:ind w:firstLine="540"/>
        <w:jc w:val="both"/>
        <w:rPr>
          <w:color w:val="000000" w:themeColor="text1"/>
        </w:rPr>
      </w:pPr>
      <w:r w:rsidRPr="00386D5D">
        <w:rPr>
          <w:color w:val="000000" w:themeColor="text1"/>
        </w:rPr>
        <w:t xml:space="preserve">б) средства </w:t>
      </w:r>
      <w:proofErr w:type="spellStart"/>
      <w:r w:rsidRPr="00386D5D">
        <w:rPr>
          <w:color w:val="000000" w:themeColor="text1"/>
        </w:rPr>
        <w:t>имитозащиты</w:t>
      </w:r>
      <w:proofErr w:type="spellEnd"/>
      <w:r w:rsidRPr="00386D5D">
        <w:rPr>
          <w:color w:val="000000" w:themeColor="text1"/>
        </w:rPr>
        <w:t xml:space="preserve">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386D5D" w:rsidRPr="00386D5D" w:rsidRDefault="00386D5D" w:rsidP="00386D5D">
      <w:pPr>
        <w:pStyle w:val="ConsPlusNormal"/>
        <w:ind w:firstLine="540"/>
        <w:jc w:val="both"/>
        <w:rPr>
          <w:color w:val="000000" w:themeColor="text1"/>
        </w:rPr>
      </w:pPr>
      <w:r w:rsidRPr="00386D5D">
        <w:rPr>
          <w:color w:val="000000" w:themeColor="text1"/>
        </w:rP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386D5D" w:rsidRPr="00386D5D" w:rsidRDefault="00386D5D" w:rsidP="00386D5D">
      <w:pPr>
        <w:pStyle w:val="ConsPlusNormal"/>
        <w:ind w:firstLine="540"/>
        <w:jc w:val="both"/>
        <w:rPr>
          <w:color w:val="000000" w:themeColor="text1"/>
        </w:rPr>
      </w:pPr>
      <w:r w:rsidRPr="00386D5D">
        <w:rPr>
          <w:color w:val="000000" w:themeColor="text1"/>
        </w:rP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386D5D" w:rsidRPr="00386D5D" w:rsidRDefault="00386D5D" w:rsidP="00386D5D">
      <w:pPr>
        <w:pStyle w:val="ConsPlusNormal"/>
        <w:ind w:firstLine="540"/>
        <w:jc w:val="both"/>
        <w:rPr>
          <w:color w:val="000000" w:themeColor="text1"/>
        </w:rPr>
      </w:pPr>
      <w:r w:rsidRPr="00386D5D">
        <w:rPr>
          <w:color w:val="000000" w:themeColor="text1"/>
        </w:rPr>
        <w:t xml:space="preserve">д) аппаратные, программные и аппаратно-программные средства, системы и комплексы, </w:t>
      </w:r>
      <w:r w:rsidRPr="00386D5D">
        <w:rPr>
          <w:color w:val="000000" w:themeColor="text1"/>
        </w:rPr>
        <w:lastRenderedPageBreak/>
        <w:t>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386D5D" w:rsidRPr="00386D5D" w:rsidRDefault="00386D5D" w:rsidP="00386D5D">
      <w:pPr>
        <w:pStyle w:val="ConsPlusNormal"/>
        <w:ind w:firstLine="540"/>
        <w:jc w:val="both"/>
        <w:rPr>
          <w:color w:val="000000" w:themeColor="text1"/>
        </w:rPr>
      </w:pPr>
      <w:r w:rsidRPr="00386D5D">
        <w:rPr>
          <w:color w:val="000000" w:themeColor="text1"/>
        </w:rPr>
        <w:t xml:space="preserve">е) аппаратные, программные и аппаратно-программные средства, системы и комплексы, разработанные или модифицированные для выполнения </w:t>
      </w:r>
      <w:proofErr w:type="spellStart"/>
      <w:r w:rsidRPr="00386D5D">
        <w:rPr>
          <w:color w:val="000000" w:themeColor="text1"/>
        </w:rPr>
        <w:t>криптоаналитических</w:t>
      </w:r>
      <w:proofErr w:type="spellEnd"/>
      <w:r w:rsidRPr="00386D5D">
        <w:rPr>
          <w:color w:val="000000" w:themeColor="text1"/>
        </w:rPr>
        <w:t xml:space="preserve"> функций;</w:t>
      </w:r>
    </w:p>
    <w:p w:rsidR="00386D5D" w:rsidRPr="00386D5D" w:rsidRDefault="00386D5D" w:rsidP="00386D5D">
      <w:pPr>
        <w:pStyle w:val="ConsPlusNormal"/>
        <w:ind w:firstLine="540"/>
        <w:jc w:val="both"/>
        <w:rPr>
          <w:color w:val="000000" w:themeColor="text1"/>
        </w:rPr>
      </w:pPr>
      <w:r w:rsidRPr="00386D5D">
        <w:rPr>
          <w:color w:val="000000" w:themeColor="text1"/>
        </w:rP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386D5D" w:rsidRPr="00386D5D" w:rsidRDefault="00386D5D" w:rsidP="00386D5D">
      <w:pPr>
        <w:pStyle w:val="ConsPlusNormal"/>
        <w:ind w:firstLine="540"/>
        <w:jc w:val="both"/>
        <w:rPr>
          <w:color w:val="000000" w:themeColor="text1"/>
        </w:rPr>
      </w:pPr>
      <w:r w:rsidRPr="00386D5D">
        <w:rPr>
          <w:color w:val="000000" w:themeColor="text1"/>
        </w:rP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386D5D" w:rsidRPr="00386D5D" w:rsidRDefault="00386D5D" w:rsidP="00386D5D">
      <w:pPr>
        <w:pStyle w:val="ConsPlusNormal"/>
        <w:ind w:firstLine="540"/>
        <w:jc w:val="both"/>
        <w:rPr>
          <w:color w:val="000000" w:themeColor="text1"/>
        </w:rPr>
      </w:pPr>
      <w:r w:rsidRPr="00386D5D">
        <w:rPr>
          <w:color w:val="000000" w:themeColor="text1"/>
        </w:rPr>
        <w:t>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раздел 2.16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386D5D" w:rsidRPr="00386D5D" w:rsidRDefault="00386D5D" w:rsidP="00386D5D">
      <w:pPr>
        <w:pStyle w:val="ConsPlusNormal"/>
        <w:jc w:val="both"/>
        <w:rPr>
          <w:color w:val="000000" w:themeColor="text1"/>
        </w:rPr>
      </w:pPr>
      <w:r w:rsidRPr="00386D5D">
        <w:rPr>
          <w:color w:val="000000" w:themeColor="text1"/>
        </w:rPr>
        <w:t>(в ред. решения Коллегии Евразийской экономической комиссии от 06.10.2015 N 131)</w:t>
      </w:r>
    </w:p>
    <w:p w:rsidR="00386D5D" w:rsidRPr="00386D5D" w:rsidRDefault="00386D5D" w:rsidP="00386D5D">
      <w:pPr>
        <w:pStyle w:val="ConsPlusNormal"/>
        <w:ind w:firstLine="540"/>
        <w:jc w:val="both"/>
        <w:rPr>
          <w:color w:val="000000" w:themeColor="text1"/>
        </w:rPr>
      </w:pPr>
      <w:r w:rsidRPr="00386D5D">
        <w:rPr>
          <w:color w:val="000000" w:themeColor="text1"/>
        </w:rPr>
        <w:t>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раздел 2.17 единого перечня, категория товара определяется согласующим органом.</w:t>
      </w:r>
    </w:p>
    <w:p w:rsidR="00386D5D" w:rsidRPr="00386D5D" w:rsidRDefault="00386D5D" w:rsidP="00386D5D">
      <w:pPr>
        <w:pStyle w:val="ConsPlusNormal"/>
        <w:jc w:val="both"/>
        <w:rPr>
          <w:color w:val="000000" w:themeColor="text1"/>
        </w:rPr>
      </w:pPr>
      <w:r w:rsidRPr="00386D5D">
        <w:rPr>
          <w:color w:val="000000" w:themeColor="text1"/>
        </w:rPr>
        <w:t>(в ред. решения Коллегии Евразийской экономической комиссии от 06.10.2015 N 131)</w:t>
      </w:r>
    </w:p>
    <w:p w:rsidR="00386D5D" w:rsidRPr="00386D5D" w:rsidRDefault="00386D5D" w:rsidP="00386D5D">
      <w:pPr>
        <w:pStyle w:val="ConsPlusNormal"/>
        <w:ind w:firstLine="540"/>
        <w:jc w:val="both"/>
        <w:rPr>
          <w:color w:val="000000" w:themeColor="text1"/>
        </w:rPr>
      </w:pPr>
      <w:r w:rsidRPr="00386D5D">
        <w:rPr>
          <w:color w:val="000000" w:themeColor="text1"/>
        </w:rPr>
        <w:t>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форме, утвержденной Решением Коллегии Евразийской экономической комиссии от 16 мая 2012 г. N 45 (далее - заключение (разрешительный документ)).</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jc w:val="center"/>
        <w:outlineLvl w:val="1"/>
        <w:rPr>
          <w:color w:val="000000" w:themeColor="text1"/>
        </w:rPr>
      </w:pPr>
      <w:r w:rsidRPr="00386D5D">
        <w:rPr>
          <w:color w:val="000000" w:themeColor="text1"/>
        </w:rPr>
        <w:t>II. Помещение под таможенные процедуры</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ind w:firstLine="540"/>
        <w:jc w:val="both"/>
        <w:rPr>
          <w:color w:val="000000" w:themeColor="text1"/>
        </w:rPr>
      </w:pPr>
      <w:bookmarkStart w:id="2" w:name="Par20128"/>
      <w:bookmarkEnd w:id="2"/>
      <w:r w:rsidRPr="00386D5D">
        <w:rPr>
          <w:color w:val="000000" w:themeColor="text1"/>
        </w:rP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386D5D" w:rsidRPr="00386D5D" w:rsidRDefault="00386D5D" w:rsidP="00386D5D">
      <w:pPr>
        <w:pStyle w:val="ConsPlusNormal"/>
        <w:ind w:firstLine="540"/>
        <w:jc w:val="both"/>
        <w:rPr>
          <w:color w:val="000000" w:themeColor="text1"/>
        </w:rPr>
      </w:pPr>
      <w:bookmarkStart w:id="3" w:name="Par20131"/>
      <w:bookmarkEnd w:id="3"/>
      <w:r w:rsidRPr="00386D5D">
        <w:rPr>
          <w:color w:val="000000" w:themeColor="text1"/>
        </w:rP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 xml:space="preserve">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w:t>
      </w:r>
      <w:r w:rsidRPr="00386D5D">
        <w:rPr>
          <w:color w:val="000000" w:themeColor="text1"/>
        </w:rPr>
        <w:lastRenderedPageBreak/>
        <w:t>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386D5D" w:rsidRPr="00386D5D" w:rsidRDefault="00386D5D" w:rsidP="00386D5D">
      <w:pPr>
        <w:pStyle w:val="ConsPlusNormal"/>
        <w:ind w:firstLine="540"/>
        <w:jc w:val="both"/>
        <w:rPr>
          <w:color w:val="000000" w:themeColor="text1"/>
        </w:rPr>
      </w:pPr>
      <w:r w:rsidRPr="00386D5D">
        <w:rPr>
          <w:color w:val="000000" w:themeColor="text1"/>
        </w:rP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jc w:val="center"/>
        <w:outlineLvl w:val="1"/>
        <w:rPr>
          <w:color w:val="000000" w:themeColor="text1"/>
        </w:rPr>
      </w:pPr>
      <w:r w:rsidRPr="00386D5D">
        <w:rPr>
          <w:color w:val="000000" w:themeColor="text1"/>
        </w:rPr>
        <w:t>III. Выдача лицензии</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ind w:firstLine="540"/>
        <w:jc w:val="both"/>
        <w:rPr>
          <w:color w:val="000000" w:themeColor="text1"/>
        </w:rPr>
      </w:pPr>
      <w:bookmarkStart w:id="4" w:name="Par20139"/>
      <w:bookmarkEnd w:id="4"/>
      <w:r w:rsidRPr="00386D5D">
        <w:rPr>
          <w:color w:val="000000" w:themeColor="text1"/>
        </w:rPr>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sidR="00386D5D" w:rsidRPr="00386D5D" w:rsidRDefault="00386D5D" w:rsidP="00386D5D">
      <w:pPr>
        <w:pStyle w:val="ConsPlusNormal"/>
        <w:ind w:firstLine="540"/>
        <w:jc w:val="both"/>
        <w:rPr>
          <w:color w:val="000000" w:themeColor="text1"/>
        </w:rPr>
      </w:pPr>
      <w:r w:rsidRPr="00386D5D">
        <w:rPr>
          <w:color w:val="000000" w:themeColor="text1"/>
        </w:rPr>
        <w:t>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раздел 2.16 единого перечня;</w:t>
      </w:r>
    </w:p>
    <w:p w:rsidR="00386D5D" w:rsidRPr="00386D5D" w:rsidRDefault="00386D5D" w:rsidP="00386D5D">
      <w:pPr>
        <w:pStyle w:val="ConsPlusNormal"/>
        <w:jc w:val="both"/>
        <w:rPr>
          <w:color w:val="000000" w:themeColor="text1"/>
        </w:rPr>
      </w:pPr>
      <w:r w:rsidRPr="00386D5D">
        <w:rPr>
          <w:color w:val="000000" w:themeColor="text1"/>
        </w:rPr>
        <w:t>(в ред. решения Коллегии Евразийской экономической комиссии от 06.10.2015 N 131)</w:t>
      </w:r>
    </w:p>
    <w:p w:rsidR="00386D5D" w:rsidRPr="00386D5D" w:rsidRDefault="00386D5D" w:rsidP="00386D5D">
      <w:pPr>
        <w:pStyle w:val="ConsPlusNormal"/>
        <w:ind w:firstLine="540"/>
        <w:jc w:val="both"/>
        <w:rPr>
          <w:color w:val="000000" w:themeColor="text1"/>
        </w:rPr>
      </w:pPr>
      <w:bookmarkStart w:id="5" w:name="Par20142"/>
      <w:bookmarkEnd w:id="5"/>
      <w:r w:rsidRPr="00386D5D">
        <w:rPr>
          <w:color w:val="000000" w:themeColor="text1"/>
        </w:rPr>
        <w:t>б) иные документы, предусмотренные законодательством государства-члена.</w:t>
      </w:r>
    </w:p>
    <w:p w:rsidR="00386D5D" w:rsidRPr="00386D5D" w:rsidRDefault="00386D5D" w:rsidP="00386D5D">
      <w:pPr>
        <w:pStyle w:val="ConsPlusNormal"/>
        <w:ind w:firstLine="540"/>
        <w:jc w:val="both"/>
        <w:rPr>
          <w:color w:val="000000" w:themeColor="text1"/>
        </w:rPr>
      </w:pPr>
      <w:r w:rsidRPr="00386D5D">
        <w:rPr>
          <w:color w:val="000000" w:themeColor="text1"/>
        </w:rPr>
        <w:t>11. Копии документов, представляемые заявителем, должны быть заверены в порядке, установленном пунктом 11 Правил.</w:t>
      </w:r>
    </w:p>
    <w:p w:rsidR="00386D5D" w:rsidRPr="00386D5D" w:rsidRDefault="00386D5D" w:rsidP="00386D5D">
      <w:pPr>
        <w:pStyle w:val="ConsPlusNormal"/>
        <w:ind w:firstLine="540"/>
        <w:jc w:val="both"/>
        <w:rPr>
          <w:color w:val="000000" w:themeColor="text1"/>
        </w:rPr>
      </w:pPr>
      <w:r w:rsidRPr="00386D5D">
        <w:rPr>
          <w:color w:val="000000" w:themeColor="text1"/>
        </w:rP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386D5D" w:rsidRPr="00386D5D" w:rsidRDefault="00386D5D" w:rsidP="00386D5D">
      <w:pPr>
        <w:pStyle w:val="ConsPlusNormal"/>
        <w:ind w:firstLine="540"/>
        <w:jc w:val="both"/>
        <w:rPr>
          <w:color w:val="000000" w:themeColor="text1"/>
        </w:rPr>
      </w:pPr>
      <w:r w:rsidRPr="00386D5D">
        <w:rPr>
          <w:color w:val="000000" w:themeColor="text1"/>
        </w:rPr>
        <w:t>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документы, указанные в подпункте "б" пункта 10 настоящего Положения, в уполномоченный орган государства-члена не представляются.</w:t>
      </w:r>
    </w:p>
    <w:p w:rsidR="00386D5D" w:rsidRPr="00386D5D" w:rsidRDefault="00386D5D" w:rsidP="00386D5D">
      <w:pPr>
        <w:pStyle w:val="ConsPlusNormal"/>
        <w:ind w:firstLine="540"/>
        <w:jc w:val="both"/>
        <w:rPr>
          <w:color w:val="000000" w:themeColor="text1"/>
        </w:rPr>
      </w:pPr>
      <w:r w:rsidRPr="00386D5D">
        <w:rPr>
          <w:color w:val="000000" w:themeColor="text1"/>
        </w:rPr>
        <w:t>Согласование может осуществляться посредством выдачи заключения (разрешительного документа).</w:t>
      </w:r>
    </w:p>
    <w:p w:rsidR="00386D5D" w:rsidRPr="00386D5D" w:rsidRDefault="00386D5D" w:rsidP="00386D5D">
      <w:pPr>
        <w:pStyle w:val="ConsPlusNormal"/>
        <w:ind w:firstLine="540"/>
        <w:jc w:val="both"/>
        <w:rPr>
          <w:color w:val="000000" w:themeColor="text1"/>
        </w:rPr>
      </w:pPr>
      <w:r w:rsidRPr="00386D5D">
        <w:rPr>
          <w:color w:val="000000" w:themeColor="text1"/>
        </w:rPr>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jc w:val="center"/>
        <w:outlineLvl w:val="1"/>
        <w:rPr>
          <w:color w:val="000000" w:themeColor="text1"/>
        </w:rPr>
      </w:pPr>
      <w:r w:rsidRPr="00386D5D">
        <w:rPr>
          <w:color w:val="000000" w:themeColor="text1"/>
        </w:rPr>
        <w:t>IV. Выдача заключения (разрешительного документа)</w:t>
      </w:r>
    </w:p>
    <w:p w:rsidR="00386D5D" w:rsidRPr="00386D5D" w:rsidRDefault="00386D5D" w:rsidP="00386D5D">
      <w:pPr>
        <w:pStyle w:val="ConsPlusNormal"/>
        <w:jc w:val="both"/>
        <w:rPr>
          <w:color w:val="000000" w:themeColor="text1"/>
        </w:rPr>
      </w:pPr>
    </w:p>
    <w:p w:rsidR="00386D5D" w:rsidRPr="00386D5D" w:rsidRDefault="00386D5D" w:rsidP="00386D5D">
      <w:pPr>
        <w:pStyle w:val="ConsPlusNormal"/>
        <w:ind w:firstLine="540"/>
        <w:jc w:val="both"/>
        <w:rPr>
          <w:color w:val="000000" w:themeColor="text1"/>
        </w:rPr>
      </w:pPr>
      <w:bookmarkStart w:id="6" w:name="Par20151"/>
      <w:bookmarkEnd w:id="6"/>
      <w:r w:rsidRPr="00386D5D">
        <w:rPr>
          <w:color w:val="000000" w:themeColor="text1"/>
        </w:rPr>
        <w:t>14. Заключение (разрешительный документ) в целях помещения шифровальных (криптографических) средств под таможенные процедуры, предусмотренные пунктами 6 и 7 настоящего Положения, выдается при представлении в согласующий орган следующих документов:</w:t>
      </w:r>
    </w:p>
    <w:p w:rsidR="00386D5D" w:rsidRPr="00386D5D" w:rsidRDefault="00386D5D" w:rsidP="00386D5D">
      <w:pPr>
        <w:pStyle w:val="ConsPlusNormal"/>
        <w:ind w:firstLine="540"/>
        <w:jc w:val="both"/>
        <w:rPr>
          <w:color w:val="000000" w:themeColor="text1"/>
        </w:rPr>
      </w:pPr>
      <w:r w:rsidRPr="00386D5D">
        <w:rPr>
          <w:color w:val="000000" w:themeColor="text1"/>
        </w:rPr>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rsidR="00386D5D" w:rsidRPr="00386D5D" w:rsidRDefault="00386D5D" w:rsidP="00386D5D">
      <w:pPr>
        <w:pStyle w:val="ConsPlusNormal"/>
        <w:ind w:firstLine="540"/>
        <w:jc w:val="both"/>
        <w:rPr>
          <w:color w:val="000000" w:themeColor="text1"/>
        </w:rPr>
      </w:pPr>
      <w:r w:rsidRPr="00386D5D">
        <w:rPr>
          <w:color w:val="000000" w:themeColor="text1"/>
        </w:rP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386D5D" w:rsidRPr="00386D5D" w:rsidRDefault="00386D5D" w:rsidP="00386D5D">
      <w:pPr>
        <w:pStyle w:val="ConsPlusNormal"/>
        <w:ind w:firstLine="540"/>
        <w:jc w:val="both"/>
        <w:rPr>
          <w:color w:val="000000" w:themeColor="text1"/>
        </w:rPr>
      </w:pPr>
      <w:r w:rsidRPr="00386D5D">
        <w:rPr>
          <w:color w:val="000000" w:themeColor="text1"/>
        </w:rPr>
        <w:lastRenderedPageBreak/>
        <w:t>в) иные документы, предусмотренные законодательством государства-члена.</w:t>
      </w:r>
    </w:p>
    <w:p w:rsidR="00386D5D" w:rsidRPr="00386D5D" w:rsidRDefault="00386D5D" w:rsidP="00386D5D">
      <w:pPr>
        <w:pStyle w:val="ConsPlusNormal"/>
        <w:ind w:firstLine="540"/>
        <w:jc w:val="both"/>
        <w:rPr>
          <w:color w:val="000000" w:themeColor="text1"/>
        </w:rPr>
      </w:pPr>
      <w:r w:rsidRPr="00386D5D">
        <w:rPr>
          <w:color w:val="000000" w:themeColor="text1"/>
        </w:rPr>
        <w:t>15. В выдаче заключения (разрешительного документа) отказывается при наличии следующих оснований:</w:t>
      </w:r>
    </w:p>
    <w:p w:rsidR="00386D5D" w:rsidRPr="00386D5D" w:rsidRDefault="00386D5D" w:rsidP="00386D5D">
      <w:pPr>
        <w:pStyle w:val="ConsPlusNormal"/>
        <w:ind w:firstLine="540"/>
        <w:jc w:val="both"/>
        <w:rPr>
          <w:color w:val="000000" w:themeColor="text1"/>
        </w:rPr>
      </w:pPr>
      <w:r w:rsidRPr="00386D5D">
        <w:rPr>
          <w:color w:val="000000" w:themeColor="text1"/>
        </w:rPr>
        <w:t>а) непредставление заявителем документов, предусмотренных пунктом 14 настоящего Положения;</w:t>
      </w:r>
    </w:p>
    <w:p w:rsidR="00386D5D" w:rsidRPr="00386D5D" w:rsidRDefault="00386D5D" w:rsidP="00386D5D">
      <w:pPr>
        <w:pStyle w:val="ConsPlusNormal"/>
        <w:ind w:firstLine="540"/>
        <w:jc w:val="both"/>
        <w:rPr>
          <w:color w:val="000000" w:themeColor="text1"/>
        </w:rPr>
      </w:pPr>
      <w:r w:rsidRPr="00386D5D">
        <w:rPr>
          <w:color w:val="000000" w:themeColor="text1"/>
        </w:rP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86D5D" w:rsidRPr="00386D5D" w:rsidRDefault="00386D5D" w:rsidP="00386D5D">
      <w:pPr>
        <w:pStyle w:val="ConsPlusNormal"/>
        <w:ind w:firstLine="540"/>
        <w:jc w:val="both"/>
        <w:rPr>
          <w:color w:val="000000" w:themeColor="text1"/>
        </w:rPr>
      </w:pPr>
      <w:r w:rsidRPr="00386D5D">
        <w:rPr>
          <w:color w:val="000000" w:themeColor="text1"/>
        </w:rPr>
        <w:t>в) иные основания, предусмотренные законодательством государства-члена.</w:t>
      </w:r>
    </w:p>
    <w:p w:rsidR="00A41093" w:rsidRPr="00386D5D" w:rsidRDefault="00386D5D">
      <w:pPr>
        <w:rPr>
          <w:color w:val="000000" w:themeColor="text1"/>
        </w:rPr>
      </w:pPr>
    </w:p>
    <w:sectPr w:rsidR="00A41093" w:rsidRPr="00386D5D" w:rsidSect="00E16E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5D"/>
    <w:rsid w:val="002600DE"/>
    <w:rsid w:val="00303539"/>
    <w:rsid w:val="00386D5D"/>
    <w:rsid w:val="003F4E85"/>
    <w:rsid w:val="003F782B"/>
    <w:rsid w:val="00491B25"/>
    <w:rsid w:val="004E5A33"/>
    <w:rsid w:val="006D0E08"/>
    <w:rsid w:val="00E16E9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2C2"/>
  <w14:defaultImageDpi w14:val="32767"/>
  <w15:chartTrackingRefBased/>
  <w15:docId w15:val="{CE30BCED-77F9-DE40-B2B0-2A4EE94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5D"/>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Абдулгамид Абдурахманов</dc:creator>
  <cp:keywords/>
  <dc:description/>
  <cp:lastModifiedBy>Абдулгамид Абдурахманов</cp:lastModifiedBy>
  <cp:revision>1</cp:revision>
  <dcterms:created xsi:type="dcterms:W3CDTF">2019-05-26T19:44:00Z</dcterms:created>
  <dcterms:modified xsi:type="dcterms:W3CDTF">2019-05-26T19:48:00Z</dcterms:modified>
</cp:coreProperties>
</file>